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7AF6D" w14:textId="77777777" w:rsidR="00B2780C" w:rsidRPr="00013A67" w:rsidRDefault="00B2780C" w:rsidP="00B2780C">
      <w:pPr>
        <w:keepNext/>
        <w:tabs>
          <w:tab w:val="left" w:pos="1890"/>
          <w:tab w:val="center" w:pos="4590"/>
          <w:tab w:val="left" w:pos="4860"/>
          <w:tab w:val="left" w:pos="5580"/>
          <w:tab w:val="left" w:pos="6300"/>
          <w:tab w:val="left" w:pos="7020"/>
          <w:tab w:val="left" w:pos="7740"/>
          <w:tab w:val="left" w:pos="8460"/>
        </w:tabs>
        <w:autoSpaceDE w:val="0"/>
        <w:autoSpaceDN w:val="0"/>
        <w:adjustRightInd w:val="0"/>
        <w:jc w:val="center"/>
        <w:outlineLvl w:val="1"/>
        <w:rPr>
          <w:rFonts w:ascii="Times New Roman" w:hAnsi="Times New Roman"/>
          <w:b/>
          <w:bCs/>
          <w:snapToGrid/>
          <w:sz w:val="28"/>
          <w:szCs w:val="28"/>
        </w:rPr>
      </w:pPr>
      <w:r w:rsidRPr="00013A67">
        <w:rPr>
          <w:rFonts w:ascii="Times New Roman" w:hAnsi="Times New Roman"/>
          <w:b/>
          <w:bCs/>
          <w:snapToGrid/>
          <w:sz w:val="28"/>
          <w:szCs w:val="28"/>
        </w:rPr>
        <w:t>APPLICATIONS ARE BEING ACCEPTED FOR</w:t>
      </w:r>
    </w:p>
    <w:p w14:paraId="4FB4B0CF" w14:textId="347138C4" w:rsidR="00B2780C" w:rsidRPr="00013A67" w:rsidRDefault="00FC480C" w:rsidP="00E90620">
      <w:pPr>
        <w:tabs>
          <w:tab w:val="center" w:pos="4590"/>
          <w:tab w:val="left" w:pos="4860"/>
          <w:tab w:val="left" w:pos="5580"/>
          <w:tab w:val="left" w:pos="6300"/>
          <w:tab w:val="left" w:pos="7020"/>
          <w:tab w:val="left" w:pos="7740"/>
          <w:tab w:val="left" w:pos="8460"/>
        </w:tabs>
        <w:autoSpaceDE w:val="0"/>
        <w:autoSpaceDN w:val="0"/>
        <w:adjustRightInd w:val="0"/>
        <w:jc w:val="center"/>
        <w:rPr>
          <w:rFonts w:ascii="Times New Roman" w:hAnsi="Times New Roman"/>
          <w:snapToGrid/>
          <w:sz w:val="28"/>
          <w:szCs w:val="28"/>
        </w:rPr>
      </w:pPr>
      <w:r w:rsidRPr="00013A67">
        <w:rPr>
          <w:rFonts w:ascii="Times New Roman" w:hAnsi="Times New Roman"/>
          <w:b/>
          <w:bCs/>
          <w:snapToGrid/>
          <w:sz w:val="28"/>
          <w:szCs w:val="28"/>
        </w:rPr>
        <w:t xml:space="preserve">PIMA COUNTY </w:t>
      </w:r>
      <w:r w:rsidR="00B2780C" w:rsidRPr="00013A67">
        <w:rPr>
          <w:rFonts w:ascii="Times New Roman" w:hAnsi="Times New Roman"/>
          <w:b/>
          <w:bCs/>
          <w:snapToGrid/>
          <w:sz w:val="28"/>
          <w:szCs w:val="28"/>
        </w:rPr>
        <w:t>SUPERIOR COURT HEARING OFFICER</w:t>
      </w:r>
    </w:p>
    <w:p w14:paraId="61EFE6DD" w14:textId="60D84DB0" w:rsidR="00B2780C" w:rsidRPr="00B2780C" w:rsidRDefault="00B2780C" w:rsidP="00B2780C">
      <w:pPr>
        <w:autoSpaceDE w:val="0"/>
        <w:autoSpaceDN w:val="0"/>
        <w:adjustRightInd w:val="0"/>
        <w:spacing w:line="19" w:lineRule="exact"/>
        <w:rPr>
          <w:rFonts w:ascii="Times New Roman" w:hAnsi="Times New Roman"/>
          <w:snapToGrid/>
          <w:sz w:val="26"/>
          <w:szCs w:val="26"/>
        </w:rPr>
      </w:pPr>
      <w:r w:rsidRPr="00B2780C">
        <w:rPr>
          <w:rFonts w:ascii="Times New Roman" w:hAnsi="Times New Roman"/>
          <w:noProof/>
          <w:snapToGrid/>
          <w:sz w:val="20"/>
          <w:szCs w:val="24"/>
        </w:rPr>
        <mc:AlternateContent>
          <mc:Choice Requires="wps">
            <w:drawing>
              <wp:anchor distT="0" distB="0" distL="114300" distR="114300" simplePos="0" relativeHeight="251659264" behindDoc="1" locked="1" layoutInCell="0" allowOverlap="1" wp14:anchorId="52894AB3" wp14:editId="647B14C2">
                <wp:simplePos x="0" y="0"/>
                <wp:positionH relativeFrom="page">
                  <wp:posOffset>1257300</wp:posOffset>
                </wp:positionH>
                <wp:positionV relativeFrom="paragraph">
                  <wp:posOffset>0</wp:posOffset>
                </wp:positionV>
                <wp:extent cx="51435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3305F" id="Rectangle 2" o:spid="_x0000_s1026" style="position:absolute;margin-left:99pt;margin-top:0;width:40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AS5wEAAMIDAAAOAAAAZHJzL2Uyb0RvYy54bWysU1GP0zAMfkfiP0R5Z23HdkC17nTa6RDS&#10;wSEd/IA0TduINA5Otm78epy0203whuhDFMf2Z/vz183tcTDsoNBrsBUvFjlnykpotO0q/v3bw5v3&#10;nPkgbCMMWFXxk/L8dvv61WZ0pVpCD6ZRyAjE+nJ0Fe9DcGWWedmrQfgFOGXJ2QIOIpCJXdagGAl9&#10;MNkyz2+yEbBxCFJ5T6/3k5NvE37bKhme2tarwEzFqbeQTkxnHc9suxFlh8L1Ws5tiH/oYhDaUtEL&#10;1L0Igu1R/wU1aIngoQ0LCUMGbaulSjPQNEX+xzTPvXAqzULkeHehyf8/WPnl8Oy+Ymzdu0eQPzyz&#10;sOuF7dQdIoy9Eg2VKyJR2eh8eUmIhqdUVo+foaHVin2AxMGxxSEC0nTsmKg+XahWx8AkPa6L1dt1&#10;ThuR5CuW+c06VRDlOdmhDx8VDCxeKo60yQQuDo8+xGZEeQ5JzYPRzYM2JhnY1TuD7CDi1tM3o/vr&#10;MGNjsIWYNiFOLyrpZi5zHjMqypc1NCcaGWESEgmfLj3gL85GElHF/c+9QMWZ+WSJtg/FahVVl4zV&#10;+t2SDLz21NceYSVBVTxwNl13YVLq3qHueqpUJAos3BHVrU40vHQ1L4iEktiZRR2VeG2nqJdfb/sb&#10;AAD//wMAUEsDBBQABgAIAAAAIQCx0vr22AAAAAcBAAAPAAAAZHJzL2Rvd25yZXYueG1sTI/BTsMw&#10;EETvSPyDtUjcqA2FKIQ4VUHqFamBCzcnXpKIeO3Gbpv+PZsTXFYazWrmTbmZ3ShOOMXBk4b7lQKB&#10;1Ho7UKfh82N3l4OIyZA1oyfUcMEIm+r6qjSF9Wfa46lOneAQioXR0KcUCilj26MzceUDEnvffnIm&#10;sZw6aSdz5nA3ygelMunMQNzQm4BvPbY/9dFx79e6ViE/vHbk3h/3TRbWTfak9e3NvH0BkXBOf8+w&#10;4DM6VMzU+CPZKEbWzzlvSRr4LrZSi24WA2RVyv/81S8AAAD//wMAUEsBAi0AFAAGAAgAAAAhALaD&#10;OJL+AAAA4QEAABMAAAAAAAAAAAAAAAAAAAAAAFtDb250ZW50X1R5cGVzXS54bWxQSwECLQAUAAYA&#10;CAAAACEAOP0h/9YAAACUAQAACwAAAAAAAAAAAAAAAAAvAQAAX3JlbHMvLnJlbHNQSwECLQAUAAYA&#10;CAAAACEAsKVgEucBAADCAwAADgAAAAAAAAAAAAAAAAAuAgAAZHJzL2Uyb0RvYy54bWxQSwECLQAU&#10;AAYACAAAACEAsdL69tgAAAAHAQAADwAAAAAAAAAAAAAAAABBBAAAZHJzL2Rvd25yZXYueG1sUEsF&#10;BgAAAAAEAAQA8wAAAEYFAAAAAA==&#10;" o:allowincell="f" fillcolor="black" stroked="f" strokeweight="0">
                <w10:wrap anchorx="page"/>
                <w10:anchorlock/>
              </v:rect>
            </w:pict>
          </mc:Fallback>
        </mc:AlternateContent>
      </w:r>
    </w:p>
    <w:p w14:paraId="4B789B2E" w14:textId="65E6E18D" w:rsidR="00B2780C" w:rsidRPr="00B2780C" w:rsidRDefault="00B2780C" w:rsidP="00B2780C">
      <w:pPr>
        <w:autoSpaceDE w:val="0"/>
        <w:autoSpaceDN w:val="0"/>
        <w:adjustRightInd w:val="0"/>
        <w:spacing w:line="19" w:lineRule="exact"/>
        <w:rPr>
          <w:rFonts w:ascii="Times New Roman" w:hAnsi="Times New Roman"/>
          <w:snapToGrid/>
          <w:sz w:val="26"/>
          <w:szCs w:val="26"/>
        </w:rPr>
      </w:pPr>
      <w:r w:rsidRPr="00B2780C">
        <w:rPr>
          <w:rFonts w:ascii="Times New Roman" w:hAnsi="Times New Roman"/>
          <w:noProof/>
          <w:snapToGrid/>
          <w:sz w:val="20"/>
          <w:szCs w:val="24"/>
        </w:rPr>
        <mc:AlternateContent>
          <mc:Choice Requires="wps">
            <w:drawing>
              <wp:anchor distT="0" distB="0" distL="114300" distR="114300" simplePos="0" relativeHeight="251660288" behindDoc="1" locked="1" layoutInCell="0" allowOverlap="1" wp14:anchorId="78038D11" wp14:editId="5DAD8C29">
                <wp:simplePos x="0" y="0"/>
                <wp:positionH relativeFrom="page">
                  <wp:posOffset>1257300</wp:posOffset>
                </wp:positionH>
                <wp:positionV relativeFrom="paragraph">
                  <wp:posOffset>0</wp:posOffset>
                </wp:positionV>
                <wp:extent cx="51435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FA238" id="Rectangle 1" o:spid="_x0000_s1026" style="position:absolute;margin-left:99pt;margin-top:0;width:40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AS5wEAAMIDAAAOAAAAZHJzL2Uyb0RvYy54bWysU1GP0zAMfkfiP0R5Z23HdkC17nTa6RDS&#10;wSEd/IA0TduINA5Otm78epy0203whuhDFMf2Z/vz183tcTDsoNBrsBUvFjlnykpotO0q/v3bw5v3&#10;nPkgbCMMWFXxk/L8dvv61WZ0pVpCD6ZRyAjE+nJ0Fe9DcGWWedmrQfgFOGXJ2QIOIpCJXdagGAl9&#10;MNkyz2+yEbBxCFJ5T6/3k5NvE37bKhme2tarwEzFqbeQTkxnHc9suxFlh8L1Ws5tiH/oYhDaUtEL&#10;1L0Igu1R/wU1aIngoQ0LCUMGbaulSjPQNEX+xzTPvXAqzULkeHehyf8/WPnl8Oy+Ymzdu0eQPzyz&#10;sOuF7dQdIoy9Eg2VKyJR2eh8eUmIhqdUVo+foaHVin2AxMGxxSEC0nTsmKg+XahWx8AkPa6L1dt1&#10;ThuR5CuW+c06VRDlOdmhDx8VDCxeKo60yQQuDo8+xGZEeQ5JzYPRzYM2JhnY1TuD7CDi1tM3o/vr&#10;MGNjsIWYNiFOLyrpZi5zHjMqypc1NCcaGWESEgmfLj3gL85GElHF/c+9QMWZ+WSJtg/FahVVl4zV&#10;+t2SDLz21NceYSVBVTxwNl13YVLq3qHueqpUJAos3BHVrU40vHQ1L4iEktiZRR2VeG2nqJdfb/sb&#10;AAD//wMAUEsDBBQABgAIAAAAIQCx0vr22AAAAAcBAAAPAAAAZHJzL2Rvd25yZXYueG1sTI/BTsMw&#10;EETvSPyDtUjcqA2FKIQ4VUHqFamBCzcnXpKIeO3Gbpv+PZsTXFYazWrmTbmZ3ShOOMXBk4b7lQKB&#10;1Ho7UKfh82N3l4OIyZA1oyfUcMEIm+r6qjSF9Wfa46lOneAQioXR0KcUCilj26MzceUDEnvffnIm&#10;sZw6aSdz5nA3ygelMunMQNzQm4BvPbY/9dFx79e6ViE/vHbk3h/3TRbWTfak9e3NvH0BkXBOf8+w&#10;4DM6VMzU+CPZKEbWzzlvSRr4LrZSi24WA2RVyv/81S8AAAD//wMAUEsBAi0AFAAGAAgAAAAhALaD&#10;OJL+AAAA4QEAABMAAAAAAAAAAAAAAAAAAAAAAFtDb250ZW50X1R5cGVzXS54bWxQSwECLQAUAAYA&#10;CAAAACEAOP0h/9YAAACUAQAACwAAAAAAAAAAAAAAAAAvAQAAX3JlbHMvLnJlbHNQSwECLQAUAAYA&#10;CAAAACEAsKVgEucBAADCAwAADgAAAAAAAAAAAAAAAAAuAgAAZHJzL2Uyb0RvYy54bWxQSwECLQAU&#10;AAYACAAAACEAsdL69tgAAAAHAQAADwAAAAAAAAAAAAAAAABBBAAAZHJzL2Rvd25yZXYueG1sUEsF&#10;BgAAAAAEAAQA8wAAAEYFAAAAAA==&#10;" o:allowincell="f" fillcolor="black" stroked="f" strokeweight="0">
                <w10:wrap anchorx="page"/>
                <w10:anchorlock/>
              </v:rect>
            </w:pict>
          </mc:Fallback>
        </mc:AlternateContent>
      </w:r>
    </w:p>
    <w:p w14:paraId="6CE606F4" w14:textId="77777777" w:rsidR="00B2780C" w:rsidRPr="00B2780C" w:rsidRDefault="00B2780C" w:rsidP="00B2780C">
      <w:pPr>
        <w:autoSpaceDE w:val="0"/>
        <w:autoSpaceDN w:val="0"/>
        <w:adjustRightInd w:val="0"/>
        <w:jc w:val="both"/>
        <w:rPr>
          <w:snapToGrid/>
          <w:sz w:val="22"/>
          <w:szCs w:val="24"/>
        </w:rPr>
      </w:pPr>
    </w:p>
    <w:p w14:paraId="01DD94B0" w14:textId="7B36D665" w:rsidR="00583031" w:rsidRPr="00EB3D47" w:rsidRDefault="005C79DC" w:rsidP="00EB3D47">
      <w:pPr>
        <w:autoSpaceDE w:val="0"/>
        <w:autoSpaceDN w:val="0"/>
        <w:adjustRightInd w:val="0"/>
        <w:ind w:right="450"/>
        <w:jc w:val="both"/>
        <w:rPr>
          <w:rFonts w:ascii="Calibri" w:hAnsi="Calibri" w:cs="Calibri"/>
          <w:snapToGrid/>
          <w:sz w:val="21"/>
          <w:szCs w:val="21"/>
        </w:rPr>
      </w:pPr>
      <w:r w:rsidRPr="005C79DC">
        <w:rPr>
          <w:rFonts w:ascii="Calibri" w:hAnsi="Calibri" w:cs="Calibri"/>
          <w:snapToGrid/>
          <w:sz w:val="21"/>
          <w:szCs w:val="21"/>
        </w:rPr>
        <w:t xml:space="preserve">Presiding </w:t>
      </w:r>
      <w:r w:rsidRPr="007E1142">
        <w:rPr>
          <w:rFonts w:ascii="Calibri" w:hAnsi="Calibri" w:cs="Calibri"/>
          <w:snapToGrid/>
          <w:sz w:val="21"/>
          <w:szCs w:val="21"/>
        </w:rPr>
        <w:t>Judge</w:t>
      </w:r>
      <w:r w:rsidRPr="005C79DC">
        <w:rPr>
          <w:rFonts w:ascii="Calibri" w:hAnsi="Calibri" w:cs="Calibri"/>
          <w:snapToGrid/>
          <w:sz w:val="21"/>
          <w:szCs w:val="21"/>
        </w:rPr>
        <w:t xml:space="preserve"> </w:t>
      </w:r>
      <w:r w:rsidR="00FC480C">
        <w:rPr>
          <w:rFonts w:ascii="Calibri" w:hAnsi="Calibri" w:cs="Calibri"/>
          <w:snapToGrid/>
          <w:sz w:val="21"/>
          <w:szCs w:val="21"/>
        </w:rPr>
        <w:t xml:space="preserve">Danelle B. Liwski </w:t>
      </w:r>
      <w:r w:rsidRPr="005C79DC">
        <w:rPr>
          <w:rFonts w:ascii="Calibri" w:hAnsi="Calibri" w:cs="Calibri"/>
          <w:snapToGrid/>
          <w:sz w:val="21"/>
          <w:szCs w:val="21"/>
        </w:rPr>
        <w:t>announce</w:t>
      </w:r>
      <w:r w:rsidR="00210310">
        <w:rPr>
          <w:rFonts w:ascii="Calibri" w:hAnsi="Calibri" w:cs="Calibri"/>
          <w:snapToGrid/>
          <w:sz w:val="21"/>
          <w:szCs w:val="21"/>
        </w:rPr>
        <w:t>s</w:t>
      </w:r>
      <w:r w:rsidRPr="005C79DC">
        <w:rPr>
          <w:rFonts w:ascii="Calibri" w:hAnsi="Calibri" w:cs="Calibri"/>
          <w:snapToGrid/>
          <w:sz w:val="21"/>
          <w:szCs w:val="21"/>
        </w:rPr>
        <w:t xml:space="preserve"> that a Merit Selection Committee for the Superior Court is accepting </w:t>
      </w:r>
      <w:r w:rsidR="00210310">
        <w:rPr>
          <w:rFonts w:ascii="Calibri" w:hAnsi="Calibri" w:cs="Calibri"/>
          <w:snapToGrid/>
          <w:sz w:val="21"/>
          <w:szCs w:val="21"/>
        </w:rPr>
        <w:t xml:space="preserve">applications for </w:t>
      </w:r>
      <w:r w:rsidR="00FC480C">
        <w:rPr>
          <w:rFonts w:ascii="Calibri" w:hAnsi="Calibri" w:cs="Calibri"/>
          <w:snapToGrid/>
          <w:sz w:val="21"/>
          <w:szCs w:val="21"/>
        </w:rPr>
        <w:t xml:space="preserve">a vacant position for </w:t>
      </w:r>
      <w:r w:rsidRPr="007E1142">
        <w:rPr>
          <w:rFonts w:ascii="Calibri" w:hAnsi="Calibri" w:cs="Calibri"/>
          <w:bCs/>
          <w:snapToGrid/>
          <w:sz w:val="21"/>
          <w:szCs w:val="21"/>
        </w:rPr>
        <w:t>Hearing Officer</w:t>
      </w:r>
      <w:r w:rsidR="00FC480C">
        <w:rPr>
          <w:rFonts w:ascii="Calibri" w:hAnsi="Calibri" w:cs="Calibri"/>
          <w:bCs/>
          <w:snapToGrid/>
          <w:sz w:val="21"/>
          <w:szCs w:val="21"/>
        </w:rPr>
        <w:t xml:space="preserve"> in the Pima County Superior Court. </w:t>
      </w:r>
      <w:r w:rsidR="00973135">
        <w:rPr>
          <w:rFonts w:ascii="Calibri" w:hAnsi="Calibri" w:cs="Calibri"/>
          <w:bCs/>
          <w:snapToGrid/>
          <w:sz w:val="21"/>
          <w:szCs w:val="21"/>
        </w:rPr>
        <w:t>The Hon. Greg Sakall, Associate Presiding Judge</w:t>
      </w:r>
      <w:r w:rsidR="002A7C7C">
        <w:rPr>
          <w:rFonts w:ascii="Calibri" w:hAnsi="Calibri" w:cs="Calibri"/>
          <w:bCs/>
          <w:snapToGrid/>
          <w:sz w:val="21"/>
          <w:szCs w:val="21"/>
        </w:rPr>
        <w:t>,</w:t>
      </w:r>
      <w:r w:rsidR="00973135">
        <w:rPr>
          <w:rFonts w:ascii="Calibri" w:hAnsi="Calibri" w:cs="Calibri"/>
          <w:bCs/>
          <w:snapToGrid/>
          <w:sz w:val="21"/>
          <w:szCs w:val="21"/>
        </w:rPr>
        <w:t xml:space="preserve"> will chair the Committee. </w:t>
      </w:r>
      <w:r w:rsidR="00EB3D47">
        <w:rPr>
          <w:rFonts w:ascii="Calibri" w:hAnsi="Calibri" w:cs="Calibri"/>
          <w:snapToGrid/>
          <w:sz w:val="21"/>
          <w:szCs w:val="21"/>
        </w:rPr>
        <w:t xml:space="preserve"> </w:t>
      </w:r>
      <w:r w:rsidR="003173CC">
        <w:rPr>
          <w:rFonts w:asciiTheme="minorHAnsi" w:hAnsiTheme="minorHAnsi" w:cstheme="minorHAnsi"/>
          <w:sz w:val="21"/>
          <w:szCs w:val="21"/>
        </w:rPr>
        <w:t xml:space="preserve">The Hearing Officer </w:t>
      </w:r>
      <w:r w:rsidR="00825A43">
        <w:rPr>
          <w:rFonts w:asciiTheme="minorHAnsi" w:hAnsiTheme="minorHAnsi" w:cstheme="minorHAnsi"/>
          <w:sz w:val="21"/>
          <w:szCs w:val="21"/>
        </w:rPr>
        <w:t xml:space="preserve">is a full-time judicial officer </w:t>
      </w:r>
      <w:r w:rsidR="00973135">
        <w:rPr>
          <w:rFonts w:asciiTheme="minorHAnsi" w:hAnsiTheme="minorHAnsi" w:cstheme="minorHAnsi"/>
          <w:sz w:val="21"/>
          <w:szCs w:val="21"/>
        </w:rPr>
        <w:t xml:space="preserve">responsible for </w:t>
      </w:r>
      <w:r w:rsidR="00825A43">
        <w:rPr>
          <w:rFonts w:asciiTheme="minorHAnsi" w:hAnsiTheme="minorHAnsi" w:cstheme="minorHAnsi"/>
          <w:sz w:val="21"/>
          <w:szCs w:val="21"/>
        </w:rPr>
        <w:t xml:space="preserve">assisting judicial divisions </w:t>
      </w:r>
      <w:r w:rsidR="00663B55">
        <w:rPr>
          <w:rFonts w:asciiTheme="minorHAnsi" w:hAnsiTheme="minorHAnsi" w:cstheme="minorHAnsi"/>
          <w:sz w:val="21"/>
          <w:szCs w:val="21"/>
        </w:rPr>
        <w:t>assigned to the civil, family</w:t>
      </w:r>
      <w:r w:rsidR="002A7C7C">
        <w:rPr>
          <w:rFonts w:asciiTheme="minorHAnsi" w:hAnsiTheme="minorHAnsi" w:cstheme="minorHAnsi"/>
          <w:sz w:val="21"/>
          <w:szCs w:val="21"/>
        </w:rPr>
        <w:t>,</w:t>
      </w:r>
      <w:r w:rsidR="00663B55">
        <w:rPr>
          <w:rFonts w:asciiTheme="minorHAnsi" w:hAnsiTheme="minorHAnsi" w:cstheme="minorHAnsi"/>
          <w:sz w:val="21"/>
          <w:szCs w:val="21"/>
        </w:rPr>
        <w:t xml:space="preserve"> and criminal law benches in </w:t>
      </w:r>
      <w:r w:rsidR="00825A43">
        <w:rPr>
          <w:rFonts w:asciiTheme="minorHAnsi" w:hAnsiTheme="minorHAnsi" w:cstheme="minorHAnsi"/>
          <w:sz w:val="21"/>
          <w:szCs w:val="21"/>
        </w:rPr>
        <w:t>Pima County Superior Court</w:t>
      </w:r>
      <w:r w:rsidR="00663B55">
        <w:rPr>
          <w:rFonts w:asciiTheme="minorHAnsi" w:hAnsiTheme="minorHAnsi" w:cstheme="minorHAnsi"/>
          <w:sz w:val="21"/>
          <w:szCs w:val="21"/>
        </w:rPr>
        <w:t xml:space="preserve">. The Hearing Officer will </w:t>
      </w:r>
      <w:r w:rsidR="00825A43">
        <w:rPr>
          <w:rFonts w:asciiTheme="minorHAnsi" w:hAnsiTheme="minorHAnsi" w:cstheme="minorHAnsi"/>
          <w:sz w:val="21"/>
          <w:szCs w:val="21"/>
        </w:rPr>
        <w:t>presid</w:t>
      </w:r>
      <w:r w:rsidR="00663B55">
        <w:rPr>
          <w:rFonts w:asciiTheme="minorHAnsi" w:hAnsiTheme="minorHAnsi" w:cstheme="minorHAnsi"/>
          <w:sz w:val="21"/>
          <w:szCs w:val="21"/>
        </w:rPr>
        <w:t>e</w:t>
      </w:r>
      <w:r w:rsidR="00825A43">
        <w:rPr>
          <w:rFonts w:asciiTheme="minorHAnsi" w:hAnsiTheme="minorHAnsi" w:cstheme="minorHAnsi"/>
          <w:sz w:val="21"/>
          <w:szCs w:val="21"/>
        </w:rPr>
        <w:t xml:space="preserve"> over hearings and perform</w:t>
      </w:r>
      <w:r w:rsidR="00663B55">
        <w:rPr>
          <w:rFonts w:asciiTheme="minorHAnsi" w:hAnsiTheme="minorHAnsi" w:cstheme="minorHAnsi"/>
          <w:sz w:val="21"/>
          <w:szCs w:val="21"/>
        </w:rPr>
        <w:t xml:space="preserve"> assigned </w:t>
      </w:r>
      <w:r w:rsidR="00825A43">
        <w:rPr>
          <w:rFonts w:asciiTheme="minorHAnsi" w:hAnsiTheme="minorHAnsi" w:cstheme="minorHAnsi"/>
          <w:sz w:val="21"/>
          <w:szCs w:val="21"/>
        </w:rPr>
        <w:t xml:space="preserve">administrative tasks. The Hearing Officer </w:t>
      </w:r>
      <w:r w:rsidR="00277DFA">
        <w:rPr>
          <w:rFonts w:asciiTheme="minorHAnsi" w:hAnsiTheme="minorHAnsi" w:cstheme="minorHAnsi"/>
          <w:sz w:val="21"/>
          <w:szCs w:val="21"/>
        </w:rPr>
        <w:t xml:space="preserve">will be required to </w:t>
      </w:r>
      <w:r w:rsidR="00825A43">
        <w:rPr>
          <w:rFonts w:asciiTheme="minorHAnsi" w:hAnsiTheme="minorHAnsi" w:cstheme="minorHAnsi"/>
          <w:sz w:val="21"/>
          <w:szCs w:val="21"/>
        </w:rPr>
        <w:t>exercise independent analysis and judgment in ruling on legal matters</w:t>
      </w:r>
      <w:r w:rsidR="002A7C7C">
        <w:rPr>
          <w:rFonts w:asciiTheme="minorHAnsi" w:hAnsiTheme="minorHAnsi" w:cstheme="minorHAnsi"/>
          <w:sz w:val="21"/>
          <w:szCs w:val="21"/>
        </w:rPr>
        <w:t>.</w:t>
      </w:r>
    </w:p>
    <w:p w14:paraId="0B7509D4" w14:textId="77777777" w:rsidR="009E2C38" w:rsidRPr="007E1142" w:rsidRDefault="009E2C38" w:rsidP="00656892">
      <w:pPr>
        <w:jc w:val="both"/>
        <w:rPr>
          <w:rFonts w:asciiTheme="minorHAnsi" w:hAnsiTheme="minorHAnsi" w:cstheme="minorHAnsi"/>
          <w:sz w:val="21"/>
          <w:szCs w:val="21"/>
        </w:rPr>
      </w:pPr>
    </w:p>
    <w:p w14:paraId="6E15051D" w14:textId="58607452" w:rsidR="008D21E6" w:rsidRDefault="009E2C38" w:rsidP="008D21E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21"/>
        <w:rPr>
          <w:rFonts w:asciiTheme="minorHAnsi" w:hAnsiTheme="minorHAnsi" w:cstheme="minorHAnsi"/>
          <w:b/>
          <w:bCs/>
          <w:i/>
          <w:iCs/>
          <w:sz w:val="21"/>
          <w:szCs w:val="21"/>
        </w:rPr>
      </w:pPr>
      <w:r>
        <w:rPr>
          <w:rFonts w:asciiTheme="minorHAnsi" w:hAnsiTheme="minorHAnsi" w:cstheme="minorHAnsi"/>
          <w:b/>
          <w:bCs/>
          <w:i/>
          <w:iCs/>
          <w:sz w:val="21"/>
          <w:szCs w:val="21"/>
        </w:rPr>
        <w:t>R</w:t>
      </w:r>
      <w:r w:rsidR="008E1C68">
        <w:rPr>
          <w:rFonts w:asciiTheme="minorHAnsi" w:hAnsiTheme="minorHAnsi" w:cstheme="minorHAnsi"/>
          <w:b/>
          <w:bCs/>
          <w:i/>
          <w:iCs/>
          <w:sz w:val="21"/>
          <w:szCs w:val="21"/>
        </w:rPr>
        <w:t xml:space="preserve">esponsibilities </w:t>
      </w:r>
      <w:r w:rsidR="00277DFA">
        <w:rPr>
          <w:rFonts w:asciiTheme="minorHAnsi" w:hAnsiTheme="minorHAnsi" w:cstheme="minorHAnsi"/>
          <w:b/>
          <w:bCs/>
          <w:i/>
          <w:iCs/>
          <w:sz w:val="21"/>
          <w:szCs w:val="21"/>
        </w:rPr>
        <w:t xml:space="preserve">of this position </w:t>
      </w:r>
      <w:r w:rsidR="008D21E6" w:rsidRPr="007E1142">
        <w:rPr>
          <w:rFonts w:asciiTheme="minorHAnsi" w:hAnsiTheme="minorHAnsi" w:cstheme="minorHAnsi"/>
          <w:b/>
          <w:bCs/>
          <w:i/>
          <w:iCs/>
          <w:sz w:val="21"/>
          <w:szCs w:val="21"/>
        </w:rPr>
        <w:t>may include, but are not limited to</w:t>
      </w:r>
      <w:r w:rsidR="002A7C7C" w:rsidRPr="00124711">
        <w:rPr>
          <w:rFonts w:asciiTheme="minorHAnsi" w:hAnsiTheme="minorHAnsi" w:cstheme="minorHAnsi"/>
          <w:b/>
          <w:bCs/>
          <w:i/>
          <w:iCs/>
          <w:sz w:val="21"/>
          <w:szCs w:val="21"/>
        </w:rPr>
        <w:t>, the following</w:t>
      </w:r>
      <w:r w:rsidR="008D21E6" w:rsidRPr="007E1142">
        <w:rPr>
          <w:rFonts w:asciiTheme="minorHAnsi" w:hAnsiTheme="minorHAnsi" w:cstheme="minorHAnsi"/>
          <w:b/>
          <w:bCs/>
          <w:i/>
          <w:iCs/>
          <w:sz w:val="21"/>
          <w:szCs w:val="21"/>
        </w:rPr>
        <w:t>:</w:t>
      </w:r>
    </w:p>
    <w:p w14:paraId="106227BB" w14:textId="3C4AD6BE" w:rsidR="008E1C68" w:rsidRPr="00EB3D47" w:rsidRDefault="00EB3D47" w:rsidP="00EB3D47">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sz w:val="21"/>
          <w:szCs w:val="21"/>
        </w:rPr>
      </w:pPr>
      <w:r>
        <w:rPr>
          <w:rFonts w:asciiTheme="minorHAnsi" w:hAnsiTheme="minorHAnsi" w:cstheme="minorHAnsi"/>
          <w:sz w:val="21"/>
          <w:szCs w:val="21"/>
        </w:rPr>
        <w:tab/>
      </w:r>
      <w:r w:rsidR="00825A43" w:rsidRPr="00EB3D47">
        <w:rPr>
          <w:rFonts w:asciiTheme="minorHAnsi" w:hAnsiTheme="minorHAnsi" w:cstheme="minorHAnsi"/>
          <w:sz w:val="21"/>
          <w:szCs w:val="21"/>
        </w:rPr>
        <w:t xml:space="preserve">Presiding over </w:t>
      </w:r>
      <w:r w:rsidR="00223DB5" w:rsidRPr="00EB3D47">
        <w:rPr>
          <w:rFonts w:asciiTheme="minorHAnsi" w:hAnsiTheme="minorHAnsi" w:cstheme="minorHAnsi"/>
          <w:sz w:val="21"/>
          <w:szCs w:val="21"/>
        </w:rPr>
        <w:t xml:space="preserve">hearings concerning: </w:t>
      </w:r>
    </w:p>
    <w:p w14:paraId="4FF0377E" w14:textId="0264760A" w:rsidR="00DF737E" w:rsidRPr="00853F1B" w:rsidRDefault="00AE0502" w:rsidP="00853F1B">
      <w:pPr>
        <w:pStyle w:val="ListParagraph"/>
        <w:numPr>
          <w:ilvl w:val="1"/>
          <w:numId w:val="15"/>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i/>
          <w:iCs/>
          <w:sz w:val="21"/>
          <w:szCs w:val="21"/>
        </w:rPr>
      </w:pPr>
      <w:r w:rsidRPr="00853F1B">
        <w:rPr>
          <w:rFonts w:asciiTheme="minorHAnsi" w:hAnsiTheme="minorHAnsi" w:cstheme="minorHAnsi"/>
          <w:i/>
          <w:iCs/>
          <w:sz w:val="21"/>
          <w:szCs w:val="21"/>
        </w:rPr>
        <w:t>ex</w:t>
      </w:r>
      <w:r w:rsidR="00DF737E" w:rsidRPr="00853F1B">
        <w:rPr>
          <w:rFonts w:asciiTheme="minorHAnsi" w:hAnsiTheme="minorHAnsi" w:cstheme="minorHAnsi"/>
          <w:i/>
          <w:iCs/>
          <w:sz w:val="21"/>
          <w:szCs w:val="21"/>
        </w:rPr>
        <w:t>parte</w:t>
      </w:r>
      <w:r w:rsidR="00B07342">
        <w:rPr>
          <w:rFonts w:asciiTheme="minorHAnsi" w:hAnsiTheme="minorHAnsi" w:cstheme="minorHAnsi"/>
          <w:i/>
          <w:iCs/>
          <w:sz w:val="21"/>
          <w:szCs w:val="21"/>
        </w:rPr>
        <w:t xml:space="preserve"> and contested</w:t>
      </w:r>
      <w:r w:rsidR="00DF737E" w:rsidRPr="00853F1B">
        <w:rPr>
          <w:rFonts w:asciiTheme="minorHAnsi" w:hAnsiTheme="minorHAnsi" w:cstheme="minorHAnsi"/>
          <w:i/>
          <w:iCs/>
          <w:sz w:val="21"/>
          <w:szCs w:val="21"/>
        </w:rPr>
        <w:t xml:space="preserve"> orders of protection</w:t>
      </w:r>
      <w:r w:rsidR="002A7C7C">
        <w:rPr>
          <w:rFonts w:asciiTheme="minorHAnsi" w:hAnsiTheme="minorHAnsi" w:cstheme="minorHAnsi"/>
          <w:i/>
          <w:iCs/>
          <w:sz w:val="21"/>
          <w:szCs w:val="21"/>
        </w:rPr>
        <w:t xml:space="preserve">, </w:t>
      </w:r>
      <w:r w:rsidR="00DF737E" w:rsidRPr="00853F1B">
        <w:rPr>
          <w:rFonts w:asciiTheme="minorHAnsi" w:hAnsiTheme="minorHAnsi" w:cstheme="minorHAnsi"/>
          <w:i/>
          <w:iCs/>
          <w:sz w:val="21"/>
          <w:szCs w:val="21"/>
        </w:rPr>
        <w:t>injunctions against harassment</w:t>
      </w:r>
      <w:r w:rsidR="00B07342">
        <w:rPr>
          <w:rFonts w:asciiTheme="minorHAnsi" w:hAnsiTheme="minorHAnsi" w:cstheme="minorHAnsi"/>
          <w:i/>
          <w:iCs/>
          <w:sz w:val="21"/>
          <w:szCs w:val="21"/>
        </w:rPr>
        <w:t>,</w:t>
      </w:r>
      <w:r w:rsidR="002A7C7C">
        <w:rPr>
          <w:rFonts w:asciiTheme="minorHAnsi" w:hAnsiTheme="minorHAnsi" w:cstheme="minorHAnsi"/>
          <w:i/>
          <w:iCs/>
          <w:sz w:val="21"/>
          <w:szCs w:val="21"/>
        </w:rPr>
        <w:t xml:space="preserve"> and against workplace harassment</w:t>
      </w:r>
      <w:r w:rsidR="00B07342">
        <w:rPr>
          <w:rFonts w:asciiTheme="minorHAnsi" w:hAnsiTheme="minorHAnsi" w:cstheme="minorHAnsi"/>
          <w:i/>
          <w:iCs/>
          <w:sz w:val="21"/>
          <w:szCs w:val="21"/>
        </w:rPr>
        <w:t xml:space="preserve"> </w:t>
      </w:r>
    </w:p>
    <w:p w14:paraId="6DFAD402" w14:textId="5859E0CF" w:rsidR="00DF737E" w:rsidRPr="00853F1B" w:rsidRDefault="00DF737E" w:rsidP="00853F1B">
      <w:pPr>
        <w:pStyle w:val="ListParagraph"/>
        <w:numPr>
          <w:ilvl w:val="1"/>
          <w:numId w:val="15"/>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i/>
          <w:iCs/>
          <w:sz w:val="21"/>
          <w:szCs w:val="21"/>
        </w:rPr>
      </w:pPr>
      <w:r w:rsidRPr="00853F1B">
        <w:rPr>
          <w:rFonts w:asciiTheme="minorHAnsi" w:hAnsiTheme="minorHAnsi" w:cstheme="minorHAnsi"/>
          <w:i/>
          <w:iCs/>
          <w:sz w:val="21"/>
          <w:szCs w:val="21"/>
        </w:rPr>
        <w:t>family defaults</w:t>
      </w:r>
    </w:p>
    <w:p w14:paraId="4F17CB1F" w14:textId="0376551D" w:rsidR="00DF737E" w:rsidRPr="00853F1B" w:rsidRDefault="00DF737E" w:rsidP="00853F1B">
      <w:pPr>
        <w:pStyle w:val="ListParagraph"/>
        <w:numPr>
          <w:ilvl w:val="1"/>
          <w:numId w:val="15"/>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i/>
          <w:iCs/>
          <w:sz w:val="21"/>
          <w:szCs w:val="21"/>
        </w:rPr>
      </w:pPr>
      <w:r w:rsidRPr="00853F1B">
        <w:rPr>
          <w:rFonts w:asciiTheme="minorHAnsi" w:hAnsiTheme="minorHAnsi" w:cstheme="minorHAnsi"/>
          <w:i/>
          <w:iCs/>
          <w:sz w:val="21"/>
          <w:szCs w:val="21"/>
        </w:rPr>
        <w:t>civil default judgment</w:t>
      </w:r>
      <w:r w:rsidR="00223DB5" w:rsidRPr="00853F1B">
        <w:rPr>
          <w:rFonts w:asciiTheme="minorHAnsi" w:hAnsiTheme="minorHAnsi" w:cstheme="minorHAnsi"/>
          <w:i/>
          <w:iCs/>
          <w:sz w:val="21"/>
          <w:szCs w:val="21"/>
        </w:rPr>
        <w:t>s</w:t>
      </w:r>
    </w:p>
    <w:p w14:paraId="6D9F6902" w14:textId="24EE857C" w:rsidR="00DF737E" w:rsidRPr="00853F1B" w:rsidRDefault="00223DB5" w:rsidP="00853F1B">
      <w:pPr>
        <w:pStyle w:val="ListParagraph"/>
        <w:numPr>
          <w:ilvl w:val="1"/>
          <w:numId w:val="15"/>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i/>
          <w:iCs/>
          <w:sz w:val="21"/>
          <w:szCs w:val="21"/>
        </w:rPr>
      </w:pPr>
      <w:r w:rsidRPr="00853F1B">
        <w:rPr>
          <w:rFonts w:asciiTheme="minorHAnsi" w:hAnsiTheme="minorHAnsi" w:cstheme="minorHAnsi"/>
          <w:i/>
          <w:iCs/>
          <w:sz w:val="21"/>
          <w:szCs w:val="21"/>
        </w:rPr>
        <w:t xml:space="preserve">petitions for </w:t>
      </w:r>
      <w:r w:rsidR="00DF737E" w:rsidRPr="00853F1B">
        <w:rPr>
          <w:rFonts w:asciiTheme="minorHAnsi" w:hAnsiTheme="minorHAnsi" w:cstheme="minorHAnsi"/>
          <w:i/>
          <w:iCs/>
          <w:sz w:val="21"/>
          <w:szCs w:val="21"/>
        </w:rPr>
        <w:t>name change</w:t>
      </w:r>
      <w:r w:rsidRPr="00853F1B">
        <w:rPr>
          <w:rFonts w:asciiTheme="minorHAnsi" w:hAnsiTheme="minorHAnsi" w:cstheme="minorHAnsi"/>
          <w:i/>
          <w:iCs/>
          <w:sz w:val="21"/>
          <w:szCs w:val="21"/>
        </w:rPr>
        <w:t>s</w:t>
      </w:r>
    </w:p>
    <w:p w14:paraId="77A8E5DD" w14:textId="5727E61E" w:rsidR="00DF737E" w:rsidRPr="00853F1B" w:rsidRDefault="00DF737E" w:rsidP="00853F1B">
      <w:pPr>
        <w:pStyle w:val="ListParagraph"/>
        <w:numPr>
          <w:ilvl w:val="1"/>
          <w:numId w:val="15"/>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i/>
          <w:iCs/>
          <w:sz w:val="21"/>
          <w:szCs w:val="21"/>
        </w:rPr>
      </w:pPr>
      <w:r w:rsidRPr="00853F1B">
        <w:rPr>
          <w:rFonts w:asciiTheme="minorHAnsi" w:hAnsiTheme="minorHAnsi" w:cstheme="minorHAnsi"/>
          <w:i/>
          <w:iCs/>
          <w:sz w:val="21"/>
          <w:szCs w:val="21"/>
        </w:rPr>
        <w:t>forcible entr</w:t>
      </w:r>
      <w:r w:rsidR="002A7C7C">
        <w:rPr>
          <w:rFonts w:asciiTheme="minorHAnsi" w:hAnsiTheme="minorHAnsi" w:cstheme="minorHAnsi"/>
          <w:i/>
          <w:iCs/>
          <w:sz w:val="21"/>
          <w:szCs w:val="21"/>
        </w:rPr>
        <w:t>y</w:t>
      </w:r>
      <w:r w:rsidR="005942D0" w:rsidRPr="00853F1B">
        <w:rPr>
          <w:rFonts w:asciiTheme="minorHAnsi" w:hAnsiTheme="minorHAnsi" w:cstheme="minorHAnsi"/>
          <w:i/>
          <w:iCs/>
          <w:sz w:val="21"/>
          <w:szCs w:val="21"/>
        </w:rPr>
        <w:t xml:space="preserve"> </w:t>
      </w:r>
      <w:r w:rsidRPr="00853F1B">
        <w:rPr>
          <w:rFonts w:asciiTheme="minorHAnsi" w:hAnsiTheme="minorHAnsi" w:cstheme="minorHAnsi"/>
          <w:i/>
          <w:iCs/>
          <w:sz w:val="21"/>
          <w:szCs w:val="21"/>
        </w:rPr>
        <w:t>and detainer</w:t>
      </w:r>
      <w:r w:rsidR="002A7C7C">
        <w:rPr>
          <w:rFonts w:asciiTheme="minorHAnsi" w:hAnsiTheme="minorHAnsi" w:cstheme="minorHAnsi"/>
          <w:i/>
          <w:iCs/>
          <w:sz w:val="21"/>
          <w:szCs w:val="21"/>
        </w:rPr>
        <w:t xml:space="preserve"> actions</w:t>
      </w:r>
      <w:r w:rsidRPr="00853F1B">
        <w:rPr>
          <w:rFonts w:asciiTheme="minorHAnsi" w:hAnsiTheme="minorHAnsi" w:cstheme="minorHAnsi"/>
          <w:i/>
          <w:iCs/>
          <w:sz w:val="21"/>
          <w:szCs w:val="21"/>
        </w:rPr>
        <w:t xml:space="preserve"> </w:t>
      </w:r>
    </w:p>
    <w:p w14:paraId="13976B4E" w14:textId="0A4212F2" w:rsidR="00DF737E" w:rsidRPr="00973135" w:rsidRDefault="00DF737E" w:rsidP="00973135">
      <w:pPr>
        <w:pStyle w:val="ListParagraph"/>
        <w:numPr>
          <w:ilvl w:val="1"/>
          <w:numId w:val="15"/>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i/>
          <w:iCs/>
          <w:sz w:val="21"/>
          <w:szCs w:val="21"/>
        </w:rPr>
      </w:pPr>
      <w:r w:rsidRPr="00973135">
        <w:rPr>
          <w:rFonts w:asciiTheme="minorHAnsi" w:hAnsiTheme="minorHAnsi" w:cstheme="minorHAnsi"/>
          <w:i/>
          <w:iCs/>
          <w:sz w:val="21"/>
          <w:szCs w:val="21"/>
        </w:rPr>
        <w:t>garnishment</w:t>
      </w:r>
      <w:r w:rsidR="005942D0" w:rsidRPr="00973135">
        <w:rPr>
          <w:rFonts w:asciiTheme="minorHAnsi" w:hAnsiTheme="minorHAnsi" w:cstheme="minorHAnsi"/>
          <w:i/>
          <w:iCs/>
          <w:sz w:val="21"/>
          <w:szCs w:val="21"/>
        </w:rPr>
        <w:t>s</w:t>
      </w:r>
    </w:p>
    <w:p w14:paraId="72CD95E3" w14:textId="3522DFC6" w:rsidR="00BF5B88" w:rsidRPr="00615402" w:rsidRDefault="00DF737E" w:rsidP="00BF5B88">
      <w:pPr>
        <w:pStyle w:val="ListParagraph"/>
        <w:numPr>
          <w:ilvl w:val="1"/>
          <w:numId w:val="15"/>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i/>
          <w:iCs/>
          <w:sz w:val="21"/>
          <w:szCs w:val="21"/>
        </w:rPr>
      </w:pPr>
      <w:r w:rsidRPr="00973135">
        <w:rPr>
          <w:rFonts w:asciiTheme="minorHAnsi" w:hAnsiTheme="minorHAnsi" w:cstheme="minorHAnsi"/>
          <w:i/>
          <w:iCs/>
          <w:sz w:val="21"/>
          <w:szCs w:val="21"/>
        </w:rPr>
        <w:t xml:space="preserve">criminal </w:t>
      </w:r>
      <w:r w:rsidR="00BF5B88" w:rsidRPr="00973135">
        <w:rPr>
          <w:rFonts w:asciiTheme="minorHAnsi" w:hAnsiTheme="minorHAnsi" w:cstheme="minorHAnsi"/>
          <w:i/>
          <w:iCs/>
          <w:sz w:val="21"/>
          <w:szCs w:val="21"/>
        </w:rPr>
        <w:t>arraignments</w:t>
      </w:r>
      <w:r w:rsidR="00BF5B88">
        <w:rPr>
          <w:rFonts w:asciiTheme="minorHAnsi" w:hAnsiTheme="minorHAnsi" w:cstheme="minorHAnsi"/>
          <w:i/>
          <w:iCs/>
          <w:sz w:val="21"/>
          <w:szCs w:val="21"/>
        </w:rPr>
        <w:t>, initial</w:t>
      </w:r>
      <w:r w:rsidR="001B2905">
        <w:rPr>
          <w:rFonts w:asciiTheme="minorHAnsi" w:hAnsiTheme="minorHAnsi" w:cstheme="minorHAnsi"/>
          <w:i/>
          <w:iCs/>
          <w:sz w:val="21"/>
          <w:szCs w:val="21"/>
        </w:rPr>
        <w:t xml:space="preserve"> appearances</w:t>
      </w:r>
      <w:r w:rsidR="00BF5B88">
        <w:rPr>
          <w:rFonts w:asciiTheme="minorHAnsi" w:hAnsiTheme="minorHAnsi" w:cstheme="minorHAnsi"/>
          <w:i/>
          <w:iCs/>
          <w:sz w:val="21"/>
          <w:szCs w:val="21"/>
        </w:rPr>
        <w:t xml:space="preserve"> and </w:t>
      </w:r>
      <w:r w:rsidR="00BF5B88" w:rsidRPr="00973135">
        <w:rPr>
          <w:rFonts w:asciiTheme="minorHAnsi" w:hAnsiTheme="minorHAnsi" w:cstheme="minorHAnsi"/>
          <w:i/>
          <w:iCs/>
          <w:sz w:val="21"/>
          <w:szCs w:val="21"/>
        </w:rPr>
        <w:t>other miscellaneous criminal matters</w:t>
      </w:r>
    </w:p>
    <w:p w14:paraId="7BA93B1D" w14:textId="0E8DDE07" w:rsidR="00DF737E" w:rsidRDefault="00BF5B88" w:rsidP="00973135">
      <w:pPr>
        <w:pStyle w:val="ListParagraph"/>
        <w:numPr>
          <w:ilvl w:val="1"/>
          <w:numId w:val="15"/>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i/>
          <w:iCs/>
          <w:sz w:val="21"/>
          <w:szCs w:val="21"/>
        </w:rPr>
      </w:pPr>
      <w:r>
        <w:rPr>
          <w:rFonts w:asciiTheme="minorHAnsi" w:hAnsiTheme="minorHAnsi" w:cstheme="minorHAnsi"/>
          <w:i/>
          <w:iCs/>
          <w:sz w:val="21"/>
          <w:szCs w:val="21"/>
        </w:rPr>
        <w:t>Mental health hearings</w:t>
      </w:r>
    </w:p>
    <w:p w14:paraId="00F26997" w14:textId="4CD9CDB3" w:rsidR="009E2C38" w:rsidRPr="00973135" w:rsidRDefault="009E2C38" w:rsidP="009E2C38">
      <w:pPr>
        <w:pStyle w:val="ListParagraph"/>
        <w:numPr>
          <w:ilvl w:val="1"/>
          <w:numId w:val="15"/>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i/>
          <w:iCs/>
          <w:sz w:val="21"/>
          <w:szCs w:val="21"/>
        </w:rPr>
      </w:pPr>
      <w:r>
        <w:rPr>
          <w:rFonts w:asciiTheme="minorHAnsi" w:hAnsiTheme="minorHAnsi" w:cstheme="minorHAnsi"/>
          <w:i/>
          <w:iCs/>
          <w:sz w:val="21"/>
          <w:szCs w:val="21"/>
        </w:rPr>
        <w:t>bond forfeiture hearings</w:t>
      </w:r>
    </w:p>
    <w:p w14:paraId="464207D7" w14:textId="30B3EF33" w:rsidR="00825A43" w:rsidRDefault="00825A43" w:rsidP="00DF737E">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sz w:val="21"/>
          <w:szCs w:val="21"/>
        </w:rPr>
      </w:pPr>
      <w:r>
        <w:rPr>
          <w:rFonts w:asciiTheme="minorHAnsi" w:hAnsiTheme="minorHAnsi" w:cstheme="minorHAnsi"/>
          <w:sz w:val="21"/>
          <w:szCs w:val="21"/>
        </w:rPr>
        <w:tab/>
        <w:t xml:space="preserve">Processing in chambers orders </w:t>
      </w:r>
      <w:r w:rsidR="002A7C7C">
        <w:rPr>
          <w:rFonts w:asciiTheme="minorHAnsi" w:hAnsiTheme="minorHAnsi" w:cstheme="minorHAnsi"/>
          <w:sz w:val="21"/>
          <w:szCs w:val="21"/>
        </w:rPr>
        <w:t xml:space="preserve">regarding initial </w:t>
      </w:r>
      <w:r>
        <w:rPr>
          <w:rFonts w:asciiTheme="minorHAnsi" w:hAnsiTheme="minorHAnsi" w:cstheme="minorHAnsi"/>
          <w:sz w:val="21"/>
          <w:szCs w:val="21"/>
        </w:rPr>
        <w:t>fee deferral and waiver</w:t>
      </w:r>
      <w:r w:rsidR="000F0652">
        <w:rPr>
          <w:rFonts w:asciiTheme="minorHAnsi" w:hAnsiTheme="minorHAnsi" w:cstheme="minorHAnsi"/>
          <w:sz w:val="21"/>
          <w:szCs w:val="21"/>
        </w:rPr>
        <w:t xml:space="preserve"> requests. </w:t>
      </w:r>
    </w:p>
    <w:p w14:paraId="3E74C659" w14:textId="4437CA60" w:rsidR="00F35C51" w:rsidRDefault="00825A43" w:rsidP="00F35C5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sz w:val="21"/>
          <w:szCs w:val="21"/>
        </w:rPr>
      </w:pPr>
      <w:r>
        <w:rPr>
          <w:rFonts w:asciiTheme="minorHAnsi" w:hAnsiTheme="minorHAnsi" w:cstheme="minorHAnsi"/>
          <w:sz w:val="21"/>
          <w:szCs w:val="21"/>
        </w:rPr>
        <w:tab/>
        <w:t xml:space="preserve">Reviewing </w:t>
      </w:r>
      <w:r w:rsidR="000F0652">
        <w:rPr>
          <w:rFonts w:asciiTheme="minorHAnsi" w:hAnsiTheme="minorHAnsi" w:cstheme="minorHAnsi"/>
          <w:sz w:val="21"/>
          <w:szCs w:val="21"/>
        </w:rPr>
        <w:t xml:space="preserve">and ruling on </w:t>
      </w:r>
      <w:r>
        <w:rPr>
          <w:rFonts w:asciiTheme="minorHAnsi" w:hAnsiTheme="minorHAnsi" w:cstheme="minorHAnsi"/>
          <w:sz w:val="21"/>
          <w:szCs w:val="21"/>
        </w:rPr>
        <w:t>law enforcement requests for search warrants</w:t>
      </w:r>
      <w:r w:rsidR="000F0652">
        <w:rPr>
          <w:rFonts w:asciiTheme="minorHAnsi" w:hAnsiTheme="minorHAnsi" w:cstheme="minorHAnsi"/>
          <w:sz w:val="21"/>
          <w:szCs w:val="21"/>
        </w:rPr>
        <w:t>.</w:t>
      </w:r>
    </w:p>
    <w:p w14:paraId="4F94F0F5" w14:textId="77978CD9" w:rsidR="003173CC" w:rsidRDefault="00F35C51" w:rsidP="00DF737E">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sz w:val="21"/>
          <w:szCs w:val="21"/>
        </w:rPr>
      </w:pPr>
      <w:r>
        <w:rPr>
          <w:rFonts w:asciiTheme="minorHAnsi" w:hAnsiTheme="minorHAnsi" w:cstheme="minorHAnsi"/>
          <w:sz w:val="21"/>
          <w:szCs w:val="21"/>
        </w:rPr>
        <w:tab/>
        <w:t>Issuing</w:t>
      </w:r>
      <w:r w:rsidR="004E6A53">
        <w:rPr>
          <w:rFonts w:asciiTheme="minorHAnsi" w:hAnsiTheme="minorHAnsi" w:cstheme="minorHAnsi"/>
          <w:sz w:val="21"/>
          <w:szCs w:val="21"/>
        </w:rPr>
        <w:t xml:space="preserve"> telephonic </w:t>
      </w:r>
      <w:r>
        <w:rPr>
          <w:rFonts w:asciiTheme="minorHAnsi" w:hAnsiTheme="minorHAnsi" w:cstheme="minorHAnsi"/>
          <w:sz w:val="21"/>
          <w:szCs w:val="21"/>
        </w:rPr>
        <w:t xml:space="preserve">emergency orders of protection </w:t>
      </w:r>
      <w:r w:rsidR="004E6A53">
        <w:rPr>
          <w:rFonts w:asciiTheme="minorHAnsi" w:hAnsiTheme="minorHAnsi" w:cstheme="minorHAnsi"/>
          <w:sz w:val="21"/>
          <w:szCs w:val="21"/>
        </w:rPr>
        <w:t xml:space="preserve">as required by law. </w:t>
      </w:r>
    </w:p>
    <w:p w14:paraId="415A2C55" w14:textId="6B9A4219" w:rsidR="009F5F08" w:rsidRPr="00F35C51" w:rsidRDefault="009F5F08" w:rsidP="00DF737E">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sz w:val="21"/>
          <w:szCs w:val="21"/>
        </w:rPr>
      </w:pPr>
      <w:r>
        <w:rPr>
          <w:rFonts w:asciiTheme="minorHAnsi" w:hAnsiTheme="minorHAnsi" w:cstheme="minorHAnsi"/>
          <w:sz w:val="21"/>
          <w:szCs w:val="21"/>
        </w:rPr>
        <w:tab/>
        <w:t>Additional duties as may be assigned by the Presiding Judge.</w:t>
      </w:r>
    </w:p>
    <w:p w14:paraId="6F6A8945" w14:textId="77777777" w:rsidR="003173CC" w:rsidRDefault="003173CC" w:rsidP="00DF737E">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i/>
          <w:iCs/>
          <w:sz w:val="21"/>
          <w:szCs w:val="21"/>
        </w:rPr>
      </w:pPr>
    </w:p>
    <w:p w14:paraId="320DA607" w14:textId="689C2867" w:rsidR="00827B8D" w:rsidRDefault="009E2C38" w:rsidP="00240EBE">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right="21"/>
        <w:jc w:val="both"/>
        <w:rPr>
          <w:rFonts w:asciiTheme="minorHAnsi" w:hAnsiTheme="minorHAnsi" w:cstheme="minorHAnsi"/>
          <w:sz w:val="21"/>
          <w:szCs w:val="21"/>
        </w:rPr>
      </w:pPr>
      <w:r>
        <w:rPr>
          <w:rFonts w:asciiTheme="minorHAnsi" w:hAnsiTheme="minorHAnsi" w:cstheme="minorHAnsi"/>
          <w:sz w:val="21"/>
          <w:szCs w:val="21"/>
        </w:rPr>
        <w:t xml:space="preserve">The Presiding Judge may assign the </w:t>
      </w:r>
      <w:r w:rsidR="003173CC">
        <w:rPr>
          <w:rFonts w:asciiTheme="minorHAnsi" w:hAnsiTheme="minorHAnsi" w:cstheme="minorHAnsi"/>
          <w:sz w:val="21"/>
          <w:szCs w:val="21"/>
        </w:rPr>
        <w:t>Hearing Office</w:t>
      </w:r>
      <w:r>
        <w:rPr>
          <w:rFonts w:asciiTheme="minorHAnsi" w:hAnsiTheme="minorHAnsi" w:cstheme="minorHAnsi"/>
          <w:sz w:val="21"/>
          <w:szCs w:val="21"/>
        </w:rPr>
        <w:t xml:space="preserve">r </w:t>
      </w:r>
      <w:r w:rsidR="005C4C4E">
        <w:rPr>
          <w:rFonts w:asciiTheme="minorHAnsi" w:hAnsiTheme="minorHAnsi" w:cstheme="minorHAnsi"/>
          <w:sz w:val="21"/>
          <w:szCs w:val="21"/>
        </w:rPr>
        <w:t>additional duties</w:t>
      </w:r>
      <w:r>
        <w:rPr>
          <w:rFonts w:asciiTheme="minorHAnsi" w:hAnsiTheme="minorHAnsi" w:cstheme="minorHAnsi"/>
          <w:sz w:val="21"/>
          <w:szCs w:val="21"/>
        </w:rPr>
        <w:t xml:space="preserve"> not listed above. The Hearing Officer will</w:t>
      </w:r>
      <w:r w:rsidR="005C4C4E">
        <w:rPr>
          <w:rFonts w:asciiTheme="minorHAnsi" w:hAnsiTheme="minorHAnsi" w:cstheme="minorHAnsi"/>
          <w:sz w:val="21"/>
          <w:szCs w:val="21"/>
        </w:rPr>
        <w:t xml:space="preserve"> </w:t>
      </w:r>
      <w:r w:rsidR="003173CC" w:rsidRPr="007E1142">
        <w:rPr>
          <w:rFonts w:asciiTheme="minorHAnsi" w:hAnsiTheme="minorHAnsi" w:cstheme="minorHAnsi"/>
          <w:sz w:val="21"/>
          <w:szCs w:val="21"/>
        </w:rPr>
        <w:t xml:space="preserve">be appointed as a Judge Pro Tempore without additional compensation. </w:t>
      </w:r>
      <w:r w:rsidR="003173CC" w:rsidRPr="006750E9">
        <w:rPr>
          <w:rFonts w:asciiTheme="minorHAnsi" w:hAnsiTheme="minorHAnsi" w:cstheme="minorHAnsi"/>
          <w:sz w:val="21"/>
          <w:szCs w:val="21"/>
        </w:rPr>
        <w:t>Hearing Officers serve at the</w:t>
      </w:r>
      <w:r w:rsidR="003173CC" w:rsidRPr="007E1142">
        <w:rPr>
          <w:rFonts w:asciiTheme="minorHAnsi" w:hAnsiTheme="minorHAnsi" w:cstheme="minorHAnsi"/>
          <w:sz w:val="21"/>
          <w:szCs w:val="21"/>
        </w:rPr>
        <w:t xml:space="preserve"> pleasure of the Presiding Judge and report to the Associate Presiding Judge.  </w:t>
      </w:r>
      <w:r w:rsidR="000B4AB1">
        <w:rPr>
          <w:rFonts w:asciiTheme="minorHAnsi" w:hAnsiTheme="minorHAnsi" w:cstheme="minorHAnsi"/>
          <w:sz w:val="21"/>
          <w:szCs w:val="21"/>
        </w:rPr>
        <w:t xml:space="preserve">The current annual salary for a Hearing Officer is </w:t>
      </w:r>
      <w:r w:rsidR="00903247">
        <w:rPr>
          <w:rFonts w:asciiTheme="minorHAnsi" w:hAnsiTheme="minorHAnsi" w:cstheme="minorHAnsi"/>
          <w:sz w:val="21"/>
          <w:szCs w:val="21"/>
        </w:rPr>
        <w:t>$126,000.00</w:t>
      </w:r>
      <w:r w:rsidR="00436652">
        <w:rPr>
          <w:rFonts w:asciiTheme="minorHAnsi" w:hAnsiTheme="minorHAnsi" w:cstheme="minorHAnsi"/>
          <w:sz w:val="21"/>
          <w:szCs w:val="21"/>
        </w:rPr>
        <w:t>, and will increase on January 1, 2025</w:t>
      </w:r>
      <w:r w:rsidR="00E75D00">
        <w:rPr>
          <w:rFonts w:asciiTheme="minorHAnsi" w:hAnsiTheme="minorHAnsi" w:cstheme="minorHAnsi"/>
          <w:sz w:val="21"/>
          <w:szCs w:val="21"/>
        </w:rPr>
        <w:t>,</w:t>
      </w:r>
      <w:r w:rsidR="00436652">
        <w:rPr>
          <w:rFonts w:asciiTheme="minorHAnsi" w:hAnsiTheme="minorHAnsi" w:cstheme="minorHAnsi"/>
          <w:sz w:val="21"/>
          <w:szCs w:val="21"/>
        </w:rPr>
        <w:t xml:space="preserve"> to </w:t>
      </w:r>
      <w:r w:rsidR="000064AC">
        <w:rPr>
          <w:rFonts w:asciiTheme="minorHAnsi" w:hAnsiTheme="minorHAnsi" w:cstheme="minorHAnsi"/>
          <w:sz w:val="21"/>
          <w:szCs w:val="21"/>
        </w:rPr>
        <w:t>$133</w:t>
      </w:r>
      <w:r w:rsidR="008E1C68">
        <w:rPr>
          <w:rFonts w:asciiTheme="minorHAnsi" w:hAnsiTheme="minorHAnsi" w:cstheme="minorHAnsi"/>
          <w:sz w:val="21"/>
          <w:szCs w:val="21"/>
        </w:rPr>
        <w:t>,000.00</w:t>
      </w:r>
      <w:r w:rsidR="004F6F3B">
        <w:rPr>
          <w:rFonts w:asciiTheme="minorHAnsi" w:hAnsiTheme="minorHAnsi" w:cstheme="minorHAnsi"/>
          <w:sz w:val="21"/>
          <w:szCs w:val="21"/>
        </w:rPr>
        <w:t xml:space="preserve"> per HB2897</w:t>
      </w:r>
      <w:r w:rsidR="008E1C68">
        <w:rPr>
          <w:rFonts w:asciiTheme="minorHAnsi" w:hAnsiTheme="minorHAnsi" w:cstheme="minorHAnsi"/>
          <w:sz w:val="21"/>
          <w:szCs w:val="21"/>
        </w:rPr>
        <w:t xml:space="preserve"> </w:t>
      </w:r>
      <w:r w:rsidR="001A6B95">
        <w:rPr>
          <w:rFonts w:asciiTheme="minorHAnsi" w:hAnsiTheme="minorHAnsi" w:cstheme="minorHAnsi"/>
          <w:sz w:val="21"/>
          <w:szCs w:val="21"/>
        </w:rPr>
        <w:t xml:space="preserve">(The Hearing Officer salary is set at </w:t>
      </w:r>
      <w:r w:rsidR="00580793">
        <w:rPr>
          <w:rFonts w:asciiTheme="minorHAnsi" w:hAnsiTheme="minorHAnsi" w:cstheme="minorHAnsi"/>
          <w:sz w:val="21"/>
          <w:szCs w:val="21"/>
        </w:rPr>
        <w:t>70% of the statutory salary for a Superior Court Judge</w:t>
      </w:r>
      <w:r w:rsidR="008E1C68">
        <w:rPr>
          <w:rFonts w:asciiTheme="minorHAnsi" w:hAnsiTheme="minorHAnsi" w:cstheme="minorHAnsi"/>
          <w:sz w:val="21"/>
          <w:szCs w:val="21"/>
        </w:rPr>
        <w:t>)</w:t>
      </w:r>
      <w:r w:rsidR="00580793">
        <w:rPr>
          <w:rFonts w:asciiTheme="minorHAnsi" w:hAnsiTheme="minorHAnsi" w:cstheme="minorHAnsi"/>
          <w:sz w:val="21"/>
          <w:szCs w:val="21"/>
        </w:rPr>
        <w:t>.</w:t>
      </w:r>
      <w:r w:rsidR="001A6B95">
        <w:rPr>
          <w:rFonts w:asciiTheme="minorHAnsi" w:hAnsiTheme="minorHAnsi" w:cstheme="minorHAnsi"/>
          <w:sz w:val="21"/>
          <w:szCs w:val="21"/>
        </w:rPr>
        <w:t xml:space="preserve"> </w:t>
      </w:r>
    </w:p>
    <w:p w14:paraId="233C3A3F" w14:textId="7D589990" w:rsidR="00825A43" w:rsidRDefault="00827B8D" w:rsidP="00445EC4">
      <w:pPr>
        <w:tabs>
          <w:tab w:val="left" w:pos="0"/>
        </w:tabs>
        <w:suppressAutoHyphens/>
        <w:spacing w:line="240" w:lineRule="atLeast"/>
        <w:jc w:val="both"/>
        <w:rPr>
          <w:rFonts w:asciiTheme="minorHAnsi" w:hAnsiTheme="minorHAnsi" w:cstheme="minorHAnsi"/>
          <w:b/>
          <w:bCs/>
          <w:sz w:val="21"/>
          <w:szCs w:val="21"/>
        </w:rPr>
      </w:pPr>
      <w:r>
        <w:rPr>
          <w:rFonts w:asciiTheme="minorHAnsi" w:hAnsiTheme="minorHAnsi" w:cstheme="minorHAnsi"/>
          <w:b/>
          <w:bCs/>
          <w:sz w:val="21"/>
          <w:szCs w:val="21"/>
        </w:rPr>
        <w:t xml:space="preserve">Applicants must meet </w:t>
      </w:r>
      <w:r w:rsidR="00580793">
        <w:rPr>
          <w:rFonts w:asciiTheme="minorHAnsi" w:hAnsiTheme="minorHAnsi" w:cstheme="minorHAnsi"/>
          <w:b/>
          <w:bCs/>
          <w:sz w:val="21"/>
          <w:szCs w:val="21"/>
        </w:rPr>
        <w:t>ALL</w:t>
      </w:r>
      <w:r w:rsidR="00825A43">
        <w:rPr>
          <w:rFonts w:asciiTheme="minorHAnsi" w:hAnsiTheme="minorHAnsi" w:cstheme="minorHAnsi"/>
          <w:b/>
          <w:bCs/>
          <w:sz w:val="21"/>
          <w:szCs w:val="21"/>
        </w:rPr>
        <w:t xml:space="preserve"> the following criteria:</w:t>
      </w:r>
    </w:p>
    <w:p w14:paraId="097651A7" w14:textId="01EC55B7" w:rsidR="00825A43" w:rsidRPr="00827B8D" w:rsidRDefault="00825A43" w:rsidP="00445EC4">
      <w:pPr>
        <w:tabs>
          <w:tab w:val="left" w:pos="0"/>
        </w:tabs>
        <w:suppressAutoHyphens/>
        <w:spacing w:line="240" w:lineRule="atLeast"/>
        <w:jc w:val="both"/>
        <w:rPr>
          <w:rFonts w:asciiTheme="minorHAnsi" w:hAnsiTheme="minorHAnsi" w:cstheme="minorHAnsi"/>
          <w:sz w:val="21"/>
          <w:szCs w:val="21"/>
        </w:rPr>
      </w:pPr>
      <w:r>
        <w:rPr>
          <w:rFonts w:asciiTheme="minorHAnsi" w:hAnsiTheme="minorHAnsi" w:cstheme="minorHAnsi"/>
          <w:b/>
          <w:bCs/>
          <w:sz w:val="21"/>
          <w:szCs w:val="21"/>
        </w:rPr>
        <w:tab/>
      </w:r>
      <w:r w:rsidR="00F66199" w:rsidRPr="00827B8D">
        <w:rPr>
          <w:rFonts w:asciiTheme="minorHAnsi" w:hAnsiTheme="minorHAnsi" w:cstheme="minorHAnsi"/>
          <w:sz w:val="21"/>
          <w:szCs w:val="21"/>
        </w:rPr>
        <w:t>have</w:t>
      </w:r>
      <w:r w:rsidR="005C79DC" w:rsidRPr="00827B8D">
        <w:rPr>
          <w:rFonts w:asciiTheme="minorHAnsi" w:hAnsiTheme="minorHAnsi" w:cstheme="minorHAnsi"/>
          <w:sz w:val="21"/>
          <w:szCs w:val="21"/>
        </w:rPr>
        <w:t xml:space="preserve"> </w:t>
      </w:r>
      <w:r w:rsidRPr="00827B8D">
        <w:rPr>
          <w:rFonts w:asciiTheme="minorHAnsi" w:hAnsiTheme="minorHAnsi" w:cstheme="minorHAnsi"/>
          <w:sz w:val="21"/>
          <w:szCs w:val="21"/>
        </w:rPr>
        <w:t xml:space="preserve">been a resident of Arizona for five years immediately </w:t>
      </w:r>
      <w:r w:rsidR="00C32AD4" w:rsidRPr="00827B8D">
        <w:rPr>
          <w:rFonts w:asciiTheme="minorHAnsi" w:hAnsiTheme="minorHAnsi" w:cstheme="minorHAnsi"/>
          <w:sz w:val="21"/>
          <w:szCs w:val="21"/>
        </w:rPr>
        <w:t>preceding</w:t>
      </w:r>
      <w:r w:rsidRPr="00827B8D">
        <w:rPr>
          <w:rFonts w:asciiTheme="minorHAnsi" w:hAnsiTheme="minorHAnsi" w:cstheme="minorHAnsi"/>
          <w:sz w:val="21"/>
          <w:szCs w:val="21"/>
        </w:rPr>
        <w:t xml:space="preserve"> the application</w:t>
      </w:r>
      <w:r w:rsidR="00FB4517">
        <w:rPr>
          <w:rFonts w:asciiTheme="minorHAnsi" w:hAnsiTheme="minorHAnsi" w:cstheme="minorHAnsi"/>
          <w:sz w:val="21"/>
          <w:szCs w:val="21"/>
        </w:rPr>
        <w:t>,</w:t>
      </w:r>
    </w:p>
    <w:p w14:paraId="5A51CA66" w14:textId="62A10D51" w:rsidR="00825A43" w:rsidRDefault="00825A43" w:rsidP="00445EC4">
      <w:pPr>
        <w:tabs>
          <w:tab w:val="left" w:pos="0"/>
        </w:tabs>
        <w:suppressAutoHyphens/>
        <w:spacing w:line="240" w:lineRule="atLeast"/>
        <w:jc w:val="both"/>
        <w:rPr>
          <w:rFonts w:asciiTheme="minorHAnsi" w:hAnsiTheme="minorHAnsi" w:cstheme="minorHAnsi"/>
          <w:sz w:val="21"/>
          <w:szCs w:val="21"/>
        </w:rPr>
      </w:pPr>
      <w:r>
        <w:rPr>
          <w:rFonts w:asciiTheme="minorHAnsi" w:hAnsiTheme="minorHAnsi" w:cstheme="minorHAnsi"/>
          <w:b/>
          <w:bCs/>
          <w:sz w:val="21"/>
          <w:szCs w:val="21"/>
        </w:rPr>
        <w:tab/>
      </w:r>
      <w:r w:rsidR="00C32AD4">
        <w:rPr>
          <w:rFonts w:asciiTheme="minorHAnsi" w:hAnsiTheme="minorHAnsi" w:cstheme="minorHAnsi"/>
          <w:sz w:val="21"/>
          <w:szCs w:val="21"/>
        </w:rPr>
        <w:t xml:space="preserve">hold </w:t>
      </w:r>
      <w:r w:rsidR="00330AC2" w:rsidRPr="007E1142">
        <w:rPr>
          <w:rFonts w:asciiTheme="minorHAnsi" w:hAnsiTheme="minorHAnsi" w:cstheme="minorHAnsi"/>
          <w:sz w:val="21"/>
          <w:szCs w:val="21"/>
        </w:rPr>
        <w:t xml:space="preserve">Juris Doctorate from an accredited law </w:t>
      </w:r>
      <w:r w:rsidR="00FB4517" w:rsidRPr="007E1142">
        <w:rPr>
          <w:rFonts w:asciiTheme="minorHAnsi" w:hAnsiTheme="minorHAnsi" w:cstheme="minorHAnsi"/>
          <w:sz w:val="21"/>
          <w:szCs w:val="21"/>
        </w:rPr>
        <w:t>school</w:t>
      </w:r>
      <w:r w:rsidR="00FB4517">
        <w:rPr>
          <w:rFonts w:asciiTheme="minorHAnsi" w:hAnsiTheme="minorHAnsi" w:cstheme="minorHAnsi"/>
          <w:sz w:val="21"/>
          <w:szCs w:val="21"/>
        </w:rPr>
        <w:t>,</w:t>
      </w:r>
    </w:p>
    <w:p w14:paraId="35DC00F5" w14:textId="46221415" w:rsidR="007605E2" w:rsidRDefault="00C32AD4" w:rsidP="00445EC4">
      <w:pPr>
        <w:tabs>
          <w:tab w:val="left" w:pos="0"/>
        </w:tabs>
        <w:suppressAutoHyphens/>
        <w:spacing w:line="240" w:lineRule="atLeast"/>
        <w:jc w:val="both"/>
        <w:rPr>
          <w:rFonts w:asciiTheme="minorHAnsi" w:hAnsiTheme="minorHAnsi" w:cstheme="minorHAnsi"/>
          <w:sz w:val="21"/>
          <w:szCs w:val="21"/>
        </w:rPr>
      </w:pPr>
      <w:r>
        <w:rPr>
          <w:rFonts w:asciiTheme="minorHAnsi" w:hAnsiTheme="minorHAnsi" w:cstheme="minorHAnsi"/>
          <w:sz w:val="21"/>
          <w:szCs w:val="21"/>
        </w:rPr>
        <w:tab/>
      </w:r>
      <w:r w:rsidR="00EE2924" w:rsidRPr="007E1142">
        <w:rPr>
          <w:rFonts w:asciiTheme="minorHAnsi" w:hAnsiTheme="minorHAnsi" w:cstheme="minorHAnsi"/>
          <w:sz w:val="21"/>
          <w:szCs w:val="21"/>
        </w:rPr>
        <w:t xml:space="preserve">be </w:t>
      </w:r>
      <w:r w:rsidR="00330AC2" w:rsidRPr="007E1142">
        <w:rPr>
          <w:rFonts w:asciiTheme="minorHAnsi" w:hAnsiTheme="minorHAnsi" w:cstheme="minorHAnsi"/>
          <w:sz w:val="21"/>
          <w:szCs w:val="21"/>
        </w:rPr>
        <w:t xml:space="preserve">at least 30 years of </w:t>
      </w:r>
      <w:r w:rsidR="00FB4517" w:rsidRPr="007E1142">
        <w:rPr>
          <w:rFonts w:asciiTheme="minorHAnsi" w:hAnsiTheme="minorHAnsi" w:cstheme="minorHAnsi"/>
          <w:sz w:val="21"/>
          <w:szCs w:val="21"/>
        </w:rPr>
        <w:t>age</w:t>
      </w:r>
      <w:r w:rsidR="00FB4517">
        <w:rPr>
          <w:rFonts w:asciiTheme="minorHAnsi" w:hAnsiTheme="minorHAnsi" w:cstheme="minorHAnsi"/>
          <w:sz w:val="21"/>
          <w:szCs w:val="21"/>
        </w:rPr>
        <w:t>,</w:t>
      </w:r>
    </w:p>
    <w:p w14:paraId="7E1D07C5" w14:textId="695F7D80" w:rsidR="007605E2" w:rsidRDefault="007605E2" w:rsidP="00445EC4">
      <w:pPr>
        <w:tabs>
          <w:tab w:val="left" w:pos="0"/>
        </w:tabs>
        <w:suppressAutoHyphens/>
        <w:spacing w:line="240" w:lineRule="atLeast"/>
        <w:jc w:val="both"/>
        <w:rPr>
          <w:rFonts w:asciiTheme="minorHAnsi" w:hAnsiTheme="minorHAnsi" w:cstheme="minorHAnsi"/>
          <w:sz w:val="21"/>
          <w:szCs w:val="21"/>
        </w:rPr>
      </w:pPr>
      <w:r>
        <w:rPr>
          <w:rFonts w:asciiTheme="minorHAnsi" w:hAnsiTheme="minorHAnsi" w:cstheme="minorHAnsi"/>
          <w:sz w:val="21"/>
          <w:szCs w:val="21"/>
        </w:rPr>
        <w:tab/>
        <w:t xml:space="preserve">be </w:t>
      </w:r>
      <w:r w:rsidR="00330AC2" w:rsidRPr="007E1142">
        <w:rPr>
          <w:rFonts w:asciiTheme="minorHAnsi" w:hAnsiTheme="minorHAnsi" w:cstheme="minorHAnsi"/>
          <w:sz w:val="21"/>
          <w:szCs w:val="21"/>
        </w:rPr>
        <w:t xml:space="preserve">of good moral </w:t>
      </w:r>
      <w:r w:rsidR="00FB4517" w:rsidRPr="007E1142">
        <w:rPr>
          <w:rFonts w:asciiTheme="minorHAnsi" w:hAnsiTheme="minorHAnsi" w:cstheme="minorHAnsi"/>
          <w:sz w:val="21"/>
          <w:szCs w:val="21"/>
        </w:rPr>
        <w:t>character</w:t>
      </w:r>
      <w:r w:rsidR="00FB4517">
        <w:rPr>
          <w:rFonts w:asciiTheme="minorHAnsi" w:hAnsiTheme="minorHAnsi" w:cstheme="minorHAnsi"/>
          <w:sz w:val="21"/>
          <w:szCs w:val="21"/>
        </w:rPr>
        <w:t>,</w:t>
      </w:r>
    </w:p>
    <w:p w14:paraId="35EB999B" w14:textId="24621E46" w:rsidR="007605E2" w:rsidRDefault="007605E2" w:rsidP="00445EC4">
      <w:pPr>
        <w:tabs>
          <w:tab w:val="left" w:pos="0"/>
        </w:tabs>
        <w:suppressAutoHyphens/>
        <w:spacing w:line="240" w:lineRule="atLeast"/>
        <w:jc w:val="both"/>
        <w:rPr>
          <w:rFonts w:asciiTheme="minorHAnsi" w:hAnsiTheme="minorHAnsi" w:cstheme="minorHAnsi"/>
          <w:sz w:val="21"/>
          <w:szCs w:val="21"/>
        </w:rPr>
      </w:pPr>
      <w:r>
        <w:rPr>
          <w:rFonts w:asciiTheme="minorHAnsi" w:hAnsiTheme="minorHAnsi" w:cstheme="minorHAnsi"/>
          <w:sz w:val="21"/>
          <w:szCs w:val="21"/>
        </w:rPr>
        <w:tab/>
        <w:t xml:space="preserve">have been </w:t>
      </w:r>
      <w:r w:rsidR="00330AC2" w:rsidRPr="007E1142">
        <w:rPr>
          <w:rFonts w:asciiTheme="minorHAnsi" w:hAnsiTheme="minorHAnsi" w:cstheme="minorHAnsi"/>
          <w:sz w:val="21"/>
          <w:szCs w:val="21"/>
        </w:rPr>
        <w:t xml:space="preserve">admitted to the practice of law in this state for not less than five years preceding the </w:t>
      </w:r>
      <w:r w:rsidR="00FB4517" w:rsidRPr="007E1142">
        <w:rPr>
          <w:rFonts w:asciiTheme="minorHAnsi" w:hAnsiTheme="minorHAnsi" w:cstheme="minorHAnsi"/>
          <w:sz w:val="21"/>
          <w:szCs w:val="21"/>
        </w:rPr>
        <w:t>appointment</w:t>
      </w:r>
      <w:r w:rsidR="00FB4517">
        <w:rPr>
          <w:rFonts w:asciiTheme="minorHAnsi" w:hAnsiTheme="minorHAnsi" w:cstheme="minorHAnsi"/>
          <w:sz w:val="21"/>
          <w:szCs w:val="21"/>
        </w:rPr>
        <w:t>,</w:t>
      </w:r>
      <w:r w:rsidR="002A7C7C">
        <w:rPr>
          <w:rFonts w:asciiTheme="minorHAnsi" w:hAnsiTheme="minorHAnsi" w:cstheme="minorHAnsi"/>
          <w:sz w:val="21"/>
          <w:szCs w:val="21"/>
        </w:rPr>
        <w:t xml:space="preserve"> and</w:t>
      </w:r>
    </w:p>
    <w:p w14:paraId="56404629" w14:textId="5788D357" w:rsidR="00C104C5" w:rsidRPr="007E1142" w:rsidRDefault="007605E2" w:rsidP="00445EC4">
      <w:pPr>
        <w:tabs>
          <w:tab w:val="left" w:pos="0"/>
        </w:tabs>
        <w:suppressAutoHyphens/>
        <w:spacing w:line="240" w:lineRule="atLeast"/>
        <w:jc w:val="both"/>
        <w:rPr>
          <w:rFonts w:asciiTheme="minorHAnsi" w:hAnsiTheme="minorHAnsi" w:cstheme="minorHAnsi"/>
          <w:b/>
          <w:bCs/>
          <w:i/>
          <w:iCs/>
          <w:sz w:val="21"/>
          <w:szCs w:val="21"/>
        </w:rPr>
      </w:pPr>
      <w:r>
        <w:rPr>
          <w:rFonts w:asciiTheme="minorHAnsi" w:hAnsiTheme="minorHAnsi" w:cstheme="minorHAnsi"/>
          <w:sz w:val="21"/>
          <w:szCs w:val="21"/>
        </w:rPr>
        <w:tab/>
        <w:t xml:space="preserve">be </w:t>
      </w:r>
      <w:r w:rsidR="00330AC2" w:rsidRPr="007E1142">
        <w:rPr>
          <w:rFonts w:asciiTheme="minorHAnsi" w:hAnsiTheme="minorHAnsi" w:cstheme="minorHAnsi"/>
          <w:sz w:val="21"/>
          <w:szCs w:val="21"/>
        </w:rPr>
        <w:t xml:space="preserve">a member in good standing with the State Bar of Arizona. </w:t>
      </w:r>
      <w:r w:rsidR="00330AC2" w:rsidRPr="007E1142">
        <w:rPr>
          <w:rFonts w:asciiTheme="minorHAnsi" w:hAnsiTheme="minorHAnsi" w:cstheme="minorHAnsi"/>
          <w:b/>
          <w:bCs/>
          <w:i/>
          <w:iCs/>
          <w:sz w:val="21"/>
          <w:szCs w:val="21"/>
        </w:rPr>
        <w:t xml:space="preserve"> </w:t>
      </w:r>
    </w:p>
    <w:p w14:paraId="2B27201B" w14:textId="153388E6" w:rsidR="00C104C5" w:rsidRPr="007E1142" w:rsidRDefault="008C1FE8" w:rsidP="00BF2788">
      <w:pPr>
        <w:pStyle w:val="BodyText"/>
        <w:jc w:val="both"/>
        <w:rPr>
          <w:rFonts w:asciiTheme="minorHAnsi" w:hAnsiTheme="minorHAnsi" w:cstheme="minorHAnsi"/>
          <w:b/>
          <w:bCs/>
          <w:i/>
          <w:iCs/>
          <w:sz w:val="21"/>
          <w:szCs w:val="21"/>
        </w:rPr>
      </w:pPr>
      <w:r w:rsidRPr="007E1142">
        <w:rPr>
          <w:rFonts w:asciiTheme="minorHAnsi" w:hAnsiTheme="minorHAnsi" w:cstheme="minorHAnsi"/>
          <w:b/>
          <w:bCs/>
          <w:sz w:val="21"/>
          <w:szCs w:val="21"/>
        </w:rPr>
        <w:br/>
      </w:r>
      <w:r w:rsidR="00C104C5" w:rsidRPr="007E1142">
        <w:rPr>
          <w:rFonts w:asciiTheme="minorHAnsi" w:hAnsiTheme="minorHAnsi" w:cstheme="minorHAnsi"/>
          <w:b/>
          <w:bCs/>
          <w:sz w:val="21"/>
          <w:szCs w:val="21"/>
        </w:rPr>
        <w:t xml:space="preserve">SPECIAL NOTICE: </w:t>
      </w:r>
      <w:r w:rsidR="00C104C5" w:rsidRPr="007E1142">
        <w:rPr>
          <w:rFonts w:asciiTheme="minorHAnsi" w:hAnsiTheme="minorHAnsi" w:cstheme="minorHAnsi"/>
          <w:b/>
          <w:bCs/>
          <w:i/>
          <w:iCs/>
          <w:sz w:val="21"/>
          <w:szCs w:val="21"/>
        </w:rPr>
        <w:t xml:space="preserve">The </w:t>
      </w:r>
      <w:r w:rsidR="00FB4517">
        <w:rPr>
          <w:rFonts w:asciiTheme="minorHAnsi" w:hAnsiTheme="minorHAnsi" w:cstheme="minorHAnsi"/>
          <w:b/>
          <w:bCs/>
          <w:i/>
          <w:iCs/>
          <w:sz w:val="21"/>
          <w:szCs w:val="21"/>
        </w:rPr>
        <w:t xml:space="preserve">Hearing Officer is </w:t>
      </w:r>
      <w:r w:rsidR="006B38C3">
        <w:rPr>
          <w:rFonts w:asciiTheme="minorHAnsi" w:hAnsiTheme="minorHAnsi" w:cstheme="minorHAnsi"/>
          <w:b/>
          <w:bCs/>
          <w:i/>
          <w:iCs/>
          <w:sz w:val="21"/>
          <w:szCs w:val="21"/>
        </w:rPr>
        <w:t>not permitted to</w:t>
      </w:r>
      <w:r w:rsidR="00C104C5" w:rsidRPr="007E1142">
        <w:rPr>
          <w:rFonts w:asciiTheme="minorHAnsi" w:hAnsiTheme="minorHAnsi" w:cstheme="minorHAnsi"/>
          <w:b/>
          <w:bCs/>
          <w:i/>
          <w:iCs/>
          <w:sz w:val="21"/>
          <w:szCs w:val="21"/>
        </w:rPr>
        <w:t xml:space="preserve"> practice law in </w:t>
      </w:r>
      <w:r w:rsidR="006A064C">
        <w:rPr>
          <w:rFonts w:asciiTheme="minorHAnsi" w:hAnsiTheme="minorHAnsi" w:cstheme="minorHAnsi"/>
          <w:b/>
          <w:bCs/>
          <w:i/>
          <w:iCs/>
          <w:sz w:val="21"/>
          <w:szCs w:val="21"/>
        </w:rPr>
        <w:t>Arizona’s</w:t>
      </w:r>
      <w:r w:rsidR="00C104C5" w:rsidRPr="007E1142">
        <w:rPr>
          <w:rFonts w:asciiTheme="minorHAnsi" w:hAnsiTheme="minorHAnsi" w:cstheme="minorHAnsi"/>
          <w:b/>
          <w:bCs/>
          <w:i/>
          <w:iCs/>
          <w:sz w:val="21"/>
          <w:szCs w:val="21"/>
        </w:rPr>
        <w:t xml:space="preserve"> Superio</w:t>
      </w:r>
      <w:r w:rsidR="006B38C3">
        <w:rPr>
          <w:rFonts w:asciiTheme="minorHAnsi" w:hAnsiTheme="minorHAnsi" w:cstheme="minorHAnsi"/>
          <w:b/>
          <w:bCs/>
          <w:i/>
          <w:iCs/>
          <w:sz w:val="21"/>
          <w:szCs w:val="21"/>
        </w:rPr>
        <w:t>r,</w:t>
      </w:r>
      <w:r w:rsidR="00C104C5" w:rsidRPr="007E1142">
        <w:rPr>
          <w:rFonts w:asciiTheme="minorHAnsi" w:hAnsiTheme="minorHAnsi" w:cstheme="minorHAnsi"/>
          <w:b/>
          <w:bCs/>
          <w:i/>
          <w:iCs/>
          <w:sz w:val="21"/>
          <w:szCs w:val="21"/>
        </w:rPr>
        <w:t xml:space="preserve"> Justice</w:t>
      </w:r>
      <w:r w:rsidR="006B38C3">
        <w:rPr>
          <w:rFonts w:asciiTheme="minorHAnsi" w:hAnsiTheme="minorHAnsi" w:cstheme="minorHAnsi"/>
          <w:b/>
          <w:bCs/>
          <w:i/>
          <w:iCs/>
          <w:sz w:val="21"/>
          <w:szCs w:val="21"/>
        </w:rPr>
        <w:t xml:space="preserve">, or </w:t>
      </w:r>
      <w:r w:rsidR="00C104C5" w:rsidRPr="007E1142">
        <w:rPr>
          <w:rFonts w:asciiTheme="minorHAnsi" w:hAnsiTheme="minorHAnsi" w:cstheme="minorHAnsi"/>
          <w:b/>
          <w:bCs/>
          <w:i/>
          <w:iCs/>
          <w:sz w:val="21"/>
          <w:szCs w:val="21"/>
        </w:rPr>
        <w:t xml:space="preserve">Municipal Courts, and </w:t>
      </w:r>
      <w:r w:rsidR="006B38C3">
        <w:rPr>
          <w:rFonts w:asciiTheme="minorHAnsi" w:hAnsiTheme="minorHAnsi" w:cstheme="minorHAnsi"/>
          <w:b/>
          <w:bCs/>
          <w:i/>
          <w:iCs/>
          <w:sz w:val="21"/>
          <w:szCs w:val="21"/>
        </w:rPr>
        <w:t xml:space="preserve">is </w:t>
      </w:r>
      <w:r w:rsidR="00C104C5" w:rsidRPr="007E1142">
        <w:rPr>
          <w:rFonts w:asciiTheme="minorHAnsi" w:hAnsiTheme="minorHAnsi" w:cstheme="minorHAnsi"/>
          <w:b/>
          <w:bCs/>
          <w:i/>
          <w:iCs/>
          <w:sz w:val="21"/>
          <w:szCs w:val="21"/>
        </w:rPr>
        <w:t xml:space="preserve">subject to provisions of the </w:t>
      </w:r>
      <w:r w:rsidR="00BF2788">
        <w:rPr>
          <w:rFonts w:asciiTheme="minorHAnsi" w:hAnsiTheme="minorHAnsi" w:cstheme="minorHAnsi"/>
          <w:b/>
          <w:bCs/>
          <w:i/>
          <w:iCs/>
          <w:sz w:val="21"/>
          <w:szCs w:val="21"/>
        </w:rPr>
        <w:t>C</w:t>
      </w:r>
      <w:r w:rsidR="00C104C5" w:rsidRPr="007E1142">
        <w:rPr>
          <w:rFonts w:asciiTheme="minorHAnsi" w:hAnsiTheme="minorHAnsi" w:cstheme="minorHAnsi"/>
          <w:b/>
          <w:bCs/>
          <w:i/>
          <w:iCs/>
          <w:sz w:val="21"/>
          <w:szCs w:val="21"/>
        </w:rPr>
        <w:t xml:space="preserve">ode of </w:t>
      </w:r>
      <w:r w:rsidR="00BF2788">
        <w:rPr>
          <w:rFonts w:asciiTheme="minorHAnsi" w:hAnsiTheme="minorHAnsi" w:cstheme="minorHAnsi"/>
          <w:b/>
          <w:bCs/>
          <w:i/>
          <w:iCs/>
          <w:sz w:val="21"/>
          <w:szCs w:val="21"/>
        </w:rPr>
        <w:t>J</w:t>
      </w:r>
      <w:r w:rsidR="00C104C5" w:rsidRPr="007E1142">
        <w:rPr>
          <w:rFonts w:asciiTheme="minorHAnsi" w:hAnsiTheme="minorHAnsi" w:cstheme="minorHAnsi"/>
          <w:b/>
          <w:bCs/>
          <w:i/>
          <w:iCs/>
          <w:sz w:val="21"/>
          <w:szCs w:val="21"/>
        </w:rPr>
        <w:t xml:space="preserve">udicial </w:t>
      </w:r>
      <w:r w:rsidR="00BF2788">
        <w:rPr>
          <w:rFonts w:asciiTheme="minorHAnsi" w:hAnsiTheme="minorHAnsi" w:cstheme="minorHAnsi"/>
          <w:b/>
          <w:bCs/>
          <w:i/>
          <w:iCs/>
          <w:sz w:val="21"/>
          <w:szCs w:val="21"/>
        </w:rPr>
        <w:t>C</w:t>
      </w:r>
      <w:r w:rsidR="00C104C5" w:rsidRPr="007E1142">
        <w:rPr>
          <w:rFonts w:asciiTheme="minorHAnsi" w:hAnsiTheme="minorHAnsi" w:cstheme="minorHAnsi"/>
          <w:b/>
          <w:bCs/>
          <w:i/>
          <w:iCs/>
          <w:sz w:val="21"/>
          <w:szCs w:val="21"/>
        </w:rPr>
        <w:t xml:space="preserve">onduct </w:t>
      </w:r>
      <w:r w:rsidR="00E32E3B">
        <w:rPr>
          <w:rFonts w:asciiTheme="minorHAnsi" w:hAnsiTheme="minorHAnsi" w:cstheme="minorHAnsi"/>
          <w:b/>
          <w:bCs/>
          <w:i/>
          <w:iCs/>
          <w:sz w:val="21"/>
          <w:szCs w:val="21"/>
        </w:rPr>
        <w:t xml:space="preserve">as set forth in </w:t>
      </w:r>
      <w:r w:rsidR="00C104C5" w:rsidRPr="007E1142">
        <w:rPr>
          <w:rFonts w:asciiTheme="minorHAnsi" w:hAnsiTheme="minorHAnsi" w:cstheme="minorHAnsi"/>
          <w:b/>
          <w:bCs/>
          <w:i/>
          <w:iCs/>
          <w:sz w:val="21"/>
          <w:szCs w:val="21"/>
        </w:rPr>
        <w:t xml:space="preserve"> </w:t>
      </w:r>
      <w:r w:rsidR="00E32E3B">
        <w:rPr>
          <w:rFonts w:asciiTheme="minorHAnsi" w:hAnsiTheme="minorHAnsi" w:cstheme="minorHAnsi"/>
          <w:b/>
          <w:bCs/>
          <w:i/>
          <w:iCs/>
          <w:sz w:val="21"/>
          <w:szCs w:val="21"/>
        </w:rPr>
        <w:t xml:space="preserve">Rule 81 of the Arizona Supreme Court </w:t>
      </w:r>
      <w:r w:rsidR="00BF2788">
        <w:rPr>
          <w:rFonts w:asciiTheme="minorHAnsi" w:hAnsiTheme="minorHAnsi" w:cstheme="minorHAnsi"/>
          <w:b/>
          <w:bCs/>
          <w:i/>
          <w:iCs/>
          <w:sz w:val="21"/>
          <w:szCs w:val="21"/>
        </w:rPr>
        <w:t>Rules</w:t>
      </w:r>
      <w:r w:rsidR="00C104C5" w:rsidRPr="007E1142">
        <w:rPr>
          <w:rFonts w:asciiTheme="minorHAnsi" w:hAnsiTheme="minorHAnsi" w:cstheme="minorHAnsi"/>
          <w:b/>
          <w:bCs/>
          <w:i/>
          <w:iCs/>
          <w:sz w:val="21"/>
          <w:szCs w:val="21"/>
        </w:rPr>
        <w:t xml:space="preserve">.  </w:t>
      </w:r>
    </w:p>
    <w:p w14:paraId="3C144CA3" w14:textId="394323F0" w:rsidR="00C80FDD" w:rsidRDefault="00442242" w:rsidP="004F6F3B">
      <w:pPr>
        <w:tabs>
          <w:tab w:val="left" w:pos="8550"/>
        </w:tabs>
        <w:autoSpaceDE w:val="0"/>
        <w:autoSpaceDN w:val="0"/>
        <w:adjustRightInd w:val="0"/>
        <w:jc w:val="both"/>
        <w:rPr>
          <w:rFonts w:ascii="Calibri" w:hAnsi="Calibri" w:cs="Calibri"/>
          <w:snapToGrid/>
          <w:sz w:val="21"/>
          <w:szCs w:val="21"/>
        </w:rPr>
      </w:pPr>
      <w:r>
        <w:rPr>
          <w:rFonts w:ascii="Calibri" w:hAnsi="Calibri" w:cs="Calibri"/>
          <w:snapToGrid/>
          <w:sz w:val="21"/>
          <w:szCs w:val="21"/>
        </w:rPr>
        <w:t>S</w:t>
      </w:r>
      <w:r w:rsidR="00C80FDD" w:rsidRPr="00C80FDD">
        <w:rPr>
          <w:rFonts w:ascii="Calibri" w:hAnsi="Calibri" w:cs="Calibri"/>
          <w:snapToGrid/>
          <w:sz w:val="21"/>
          <w:szCs w:val="21"/>
        </w:rPr>
        <w:t>ubmit your resume with the Application. Applications are available on the 9</w:t>
      </w:r>
      <w:r w:rsidR="00C80FDD" w:rsidRPr="00C80FDD">
        <w:rPr>
          <w:rFonts w:ascii="Calibri" w:hAnsi="Calibri" w:cs="Calibri"/>
          <w:snapToGrid/>
          <w:sz w:val="21"/>
          <w:szCs w:val="21"/>
          <w:vertAlign w:val="superscript"/>
        </w:rPr>
        <w:t>th</w:t>
      </w:r>
      <w:r w:rsidR="00C80FDD" w:rsidRPr="00C80FDD">
        <w:rPr>
          <w:rFonts w:ascii="Calibri" w:hAnsi="Calibri" w:cs="Calibri"/>
          <w:snapToGrid/>
          <w:sz w:val="21"/>
          <w:szCs w:val="21"/>
        </w:rPr>
        <w:t xml:space="preserve"> floor </w:t>
      </w:r>
      <w:r w:rsidR="00F230C5">
        <w:rPr>
          <w:rFonts w:ascii="Calibri" w:hAnsi="Calibri" w:cs="Calibri"/>
          <w:snapToGrid/>
          <w:sz w:val="21"/>
          <w:szCs w:val="21"/>
        </w:rPr>
        <w:t>of the Pima C</w:t>
      </w:r>
      <w:r w:rsidR="00FB4517">
        <w:rPr>
          <w:rFonts w:ascii="Calibri" w:hAnsi="Calibri" w:cs="Calibri"/>
          <w:snapToGrid/>
          <w:sz w:val="21"/>
          <w:szCs w:val="21"/>
        </w:rPr>
        <w:t>o</w:t>
      </w:r>
      <w:r w:rsidR="00F230C5">
        <w:rPr>
          <w:rFonts w:ascii="Calibri" w:hAnsi="Calibri" w:cs="Calibri"/>
          <w:snapToGrid/>
          <w:sz w:val="21"/>
          <w:szCs w:val="21"/>
        </w:rPr>
        <w:t xml:space="preserve">unty </w:t>
      </w:r>
      <w:r w:rsidR="00FB4517">
        <w:rPr>
          <w:rFonts w:ascii="Calibri" w:hAnsi="Calibri" w:cs="Calibri"/>
          <w:snapToGrid/>
          <w:sz w:val="21"/>
          <w:szCs w:val="21"/>
        </w:rPr>
        <w:t>S</w:t>
      </w:r>
      <w:r w:rsidR="00F230C5">
        <w:rPr>
          <w:rFonts w:ascii="Calibri" w:hAnsi="Calibri" w:cs="Calibri"/>
          <w:snapToGrid/>
          <w:sz w:val="21"/>
          <w:szCs w:val="21"/>
        </w:rPr>
        <w:t xml:space="preserve">uperior Court </w:t>
      </w:r>
      <w:r w:rsidR="00FB4517">
        <w:rPr>
          <w:rFonts w:ascii="Calibri" w:hAnsi="Calibri" w:cs="Calibri"/>
          <w:snapToGrid/>
          <w:sz w:val="21"/>
          <w:szCs w:val="21"/>
        </w:rPr>
        <w:t>building or</w:t>
      </w:r>
      <w:r w:rsidR="00F230C5">
        <w:rPr>
          <w:rFonts w:ascii="Calibri" w:hAnsi="Calibri" w:cs="Calibri"/>
          <w:snapToGrid/>
          <w:sz w:val="21"/>
          <w:szCs w:val="21"/>
        </w:rPr>
        <w:t xml:space="preserve"> </w:t>
      </w:r>
      <w:r w:rsidR="00C80FDD" w:rsidRPr="00C80FDD">
        <w:rPr>
          <w:rFonts w:ascii="Calibri" w:hAnsi="Calibri" w:cs="Calibri"/>
          <w:snapToGrid/>
          <w:sz w:val="21"/>
          <w:szCs w:val="21"/>
        </w:rPr>
        <w:t xml:space="preserve">may be requested by e-mailing </w:t>
      </w:r>
      <w:hyperlink r:id="rId7" w:history="1">
        <w:r w:rsidR="00F230C5" w:rsidRPr="00ED78B1">
          <w:rPr>
            <w:rStyle w:val="Hyperlink"/>
            <w:rFonts w:ascii="Calibri" w:hAnsi="Calibri" w:cs="Calibri"/>
            <w:b/>
            <w:bCs/>
            <w:i/>
            <w:iCs/>
            <w:snapToGrid/>
            <w:sz w:val="21"/>
            <w:szCs w:val="21"/>
          </w:rPr>
          <w:t>humanresources@sc.pima.gov</w:t>
        </w:r>
      </w:hyperlink>
      <w:r w:rsidR="00F230C5">
        <w:rPr>
          <w:rFonts w:ascii="Calibri" w:hAnsi="Calibri" w:cs="Calibri"/>
          <w:b/>
          <w:bCs/>
          <w:i/>
          <w:iCs/>
          <w:snapToGrid/>
          <w:sz w:val="21"/>
          <w:szCs w:val="21"/>
        </w:rPr>
        <w:t xml:space="preserve">. </w:t>
      </w:r>
      <w:r w:rsidR="004F6F3B" w:rsidRPr="004F6F3B">
        <w:rPr>
          <w:rFonts w:ascii="Calibri" w:hAnsi="Calibri" w:cs="Calibri"/>
          <w:snapToGrid/>
          <w:sz w:val="21"/>
          <w:szCs w:val="21"/>
        </w:rPr>
        <w:t>You may also download an application from the job posting on the Court’s Career Pages at: https://www.governmentjobs.com/careers/scpima/.</w:t>
      </w:r>
      <w:r w:rsidR="00A845E5">
        <w:rPr>
          <w:rFonts w:ascii="Calibri" w:hAnsi="Calibri" w:cs="Calibri"/>
          <w:snapToGrid/>
          <w:sz w:val="21"/>
          <w:szCs w:val="21"/>
        </w:rPr>
        <w:t xml:space="preserve"> </w:t>
      </w:r>
      <w:r w:rsidR="00C80FDD" w:rsidRPr="00C80FDD">
        <w:rPr>
          <w:rFonts w:ascii="Calibri" w:hAnsi="Calibri" w:cs="Calibri"/>
          <w:snapToGrid/>
          <w:sz w:val="21"/>
          <w:szCs w:val="21"/>
        </w:rPr>
        <w:t xml:space="preserve"> </w:t>
      </w:r>
      <w:r w:rsidR="00A845E5">
        <w:rPr>
          <w:rFonts w:ascii="Calibri" w:hAnsi="Calibri" w:cs="Calibri"/>
          <w:snapToGrid/>
          <w:sz w:val="21"/>
          <w:szCs w:val="21"/>
        </w:rPr>
        <w:t xml:space="preserve">Completed applications </w:t>
      </w:r>
      <w:r w:rsidR="00C80FDD" w:rsidRPr="00C80FDD">
        <w:rPr>
          <w:rFonts w:ascii="Calibri" w:hAnsi="Calibri" w:cs="Calibri"/>
          <w:snapToGrid/>
          <w:sz w:val="21"/>
          <w:szCs w:val="21"/>
        </w:rPr>
        <w:t>must be</w:t>
      </w:r>
      <w:r w:rsidR="00243B48">
        <w:rPr>
          <w:rFonts w:ascii="Calibri" w:hAnsi="Calibri" w:cs="Calibri"/>
          <w:snapToGrid/>
          <w:sz w:val="21"/>
          <w:szCs w:val="21"/>
        </w:rPr>
        <w:t xml:space="preserve"> submitted </w:t>
      </w:r>
      <w:r w:rsidR="00C80FDD" w:rsidRPr="00C80FDD">
        <w:rPr>
          <w:rFonts w:ascii="Calibri" w:hAnsi="Calibri" w:cs="Calibri"/>
          <w:snapToGrid/>
          <w:sz w:val="21"/>
          <w:szCs w:val="21"/>
        </w:rPr>
        <w:t>to the Superior Court</w:t>
      </w:r>
      <w:r w:rsidR="006A064C">
        <w:rPr>
          <w:rFonts w:ascii="Calibri" w:hAnsi="Calibri" w:cs="Calibri"/>
          <w:snapToGrid/>
          <w:sz w:val="21"/>
          <w:szCs w:val="21"/>
        </w:rPr>
        <w:t xml:space="preserve"> in Pima County</w:t>
      </w:r>
      <w:r w:rsidR="00C80FDD" w:rsidRPr="00C80FDD">
        <w:rPr>
          <w:rFonts w:ascii="Calibri" w:hAnsi="Calibri" w:cs="Calibri"/>
          <w:snapToGrid/>
          <w:sz w:val="21"/>
          <w:szCs w:val="21"/>
        </w:rPr>
        <w:t>, Human Resources, 110 W Congress, 9</w:t>
      </w:r>
      <w:r w:rsidR="00C80FDD" w:rsidRPr="00C80FDD">
        <w:rPr>
          <w:rFonts w:ascii="Calibri" w:hAnsi="Calibri" w:cs="Calibri"/>
          <w:snapToGrid/>
          <w:sz w:val="21"/>
          <w:szCs w:val="21"/>
          <w:vertAlign w:val="superscript"/>
        </w:rPr>
        <w:t>th</w:t>
      </w:r>
      <w:r w:rsidR="00C80FDD" w:rsidRPr="00C80FDD">
        <w:rPr>
          <w:rFonts w:ascii="Calibri" w:hAnsi="Calibri" w:cs="Calibri"/>
          <w:snapToGrid/>
          <w:sz w:val="21"/>
          <w:szCs w:val="21"/>
        </w:rPr>
        <w:t xml:space="preserve"> floor, Tucson, AZ  85701; faxed to (520) 724-4253</w:t>
      </w:r>
      <w:r w:rsidR="00A845E5">
        <w:rPr>
          <w:rFonts w:ascii="Calibri" w:hAnsi="Calibri" w:cs="Calibri"/>
          <w:snapToGrid/>
          <w:sz w:val="21"/>
          <w:szCs w:val="21"/>
        </w:rPr>
        <w:t>,</w:t>
      </w:r>
      <w:r w:rsidR="00C80FDD" w:rsidRPr="00C80FDD">
        <w:rPr>
          <w:rFonts w:ascii="Calibri" w:hAnsi="Calibri" w:cs="Calibri"/>
          <w:snapToGrid/>
          <w:sz w:val="21"/>
          <w:szCs w:val="21"/>
        </w:rPr>
        <w:t xml:space="preserve"> OR e-mailed to </w:t>
      </w:r>
      <w:hyperlink r:id="rId8" w:history="1">
        <w:r w:rsidR="00FF6AC3" w:rsidRPr="000A5750">
          <w:rPr>
            <w:rStyle w:val="Hyperlink"/>
            <w:rFonts w:ascii="Calibri" w:hAnsi="Calibri" w:cs="Calibri"/>
            <w:snapToGrid/>
            <w:sz w:val="21"/>
            <w:szCs w:val="21"/>
          </w:rPr>
          <w:t>humanresources@sc.pima.gov</w:t>
        </w:r>
      </w:hyperlink>
      <w:r w:rsidR="00C80FDD" w:rsidRPr="00C80FDD">
        <w:rPr>
          <w:rFonts w:ascii="Calibri" w:hAnsi="Calibri" w:cs="Calibri"/>
          <w:snapToGrid/>
          <w:sz w:val="21"/>
          <w:szCs w:val="21"/>
        </w:rPr>
        <w:t xml:space="preserve"> </w:t>
      </w:r>
      <w:r w:rsidR="00A845E5">
        <w:rPr>
          <w:rFonts w:ascii="Calibri" w:hAnsi="Calibri" w:cs="Calibri"/>
          <w:snapToGrid/>
          <w:sz w:val="21"/>
          <w:szCs w:val="21"/>
        </w:rPr>
        <w:t xml:space="preserve">, </w:t>
      </w:r>
      <w:r w:rsidR="00C80FDD" w:rsidRPr="00C80FDD">
        <w:rPr>
          <w:rFonts w:ascii="Calibri" w:hAnsi="Calibri" w:cs="Calibri"/>
          <w:snapToGrid/>
          <w:sz w:val="21"/>
          <w:szCs w:val="21"/>
        </w:rPr>
        <w:t xml:space="preserve">(cc: </w:t>
      </w:r>
      <w:hyperlink r:id="rId9" w:history="1">
        <w:r w:rsidR="00C80FDD" w:rsidRPr="00C80FDD">
          <w:rPr>
            <w:rFonts w:ascii="Calibri" w:hAnsi="Calibri" w:cs="Calibri"/>
            <w:snapToGrid/>
            <w:color w:val="0000FF"/>
            <w:sz w:val="21"/>
            <w:szCs w:val="21"/>
            <w:u w:val="single"/>
          </w:rPr>
          <w:t>isaar@sc.pima.gov</w:t>
        </w:r>
      </w:hyperlink>
      <w:r w:rsidR="00C80FDD" w:rsidRPr="00C80FDD">
        <w:rPr>
          <w:rFonts w:ascii="Calibri" w:hAnsi="Calibri" w:cs="Calibri"/>
          <w:snapToGrid/>
          <w:sz w:val="21"/>
          <w:szCs w:val="21"/>
        </w:rPr>
        <w:t>)</w:t>
      </w:r>
      <w:r w:rsidR="004F6F3B">
        <w:rPr>
          <w:rFonts w:ascii="Calibri" w:hAnsi="Calibri" w:cs="Calibri"/>
          <w:snapToGrid/>
          <w:sz w:val="21"/>
          <w:szCs w:val="21"/>
        </w:rPr>
        <w:t>.</w:t>
      </w:r>
      <w:r w:rsidR="00C80FDD" w:rsidRPr="00C80FDD">
        <w:rPr>
          <w:rFonts w:ascii="Calibri" w:hAnsi="Calibri" w:cs="Calibri"/>
          <w:snapToGrid/>
          <w:sz w:val="21"/>
          <w:szCs w:val="21"/>
        </w:rPr>
        <w:t xml:space="preserve"> </w:t>
      </w:r>
    </w:p>
    <w:p w14:paraId="6DBFBC7E" w14:textId="77777777" w:rsidR="00B96308" w:rsidRDefault="00B96308" w:rsidP="00C80FDD">
      <w:pPr>
        <w:tabs>
          <w:tab w:val="left" w:pos="8550"/>
        </w:tabs>
        <w:autoSpaceDE w:val="0"/>
        <w:autoSpaceDN w:val="0"/>
        <w:adjustRightInd w:val="0"/>
        <w:jc w:val="both"/>
        <w:rPr>
          <w:rFonts w:ascii="Calibri" w:hAnsi="Calibri" w:cs="Calibri"/>
          <w:snapToGrid/>
          <w:sz w:val="21"/>
          <w:szCs w:val="21"/>
        </w:rPr>
      </w:pPr>
    </w:p>
    <w:p w14:paraId="5DFE2CEF" w14:textId="5FF853B8" w:rsidR="00C80FDD" w:rsidRDefault="004F6F3B" w:rsidP="004F6F3B">
      <w:pPr>
        <w:tabs>
          <w:tab w:val="left" w:pos="8550"/>
        </w:tabs>
        <w:autoSpaceDE w:val="0"/>
        <w:autoSpaceDN w:val="0"/>
        <w:adjustRightInd w:val="0"/>
        <w:rPr>
          <w:rFonts w:ascii="Calibri" w:hAnsi="Calibri" w:cs="Calibri"/>
          <w:b/>
          <w:bCs/>
          <w:color w:val="952308"/>
          <w:sz w:val="20"/>
        </w:rPr>
      </w:pPr>
      <w:r w:rsidRPr="003F4540">
        <w:rPr>
          <w:rFonts w:ascii="Calibri" w:hAnsi="Calibri" w:cs="Calibri"/>
          <w:b/>
          <w:bCs/>
          <w:color w:val="952308"/>
          <w:sz w:val="20"/>
        </w:rPr>
        <w:t>Deadline to apply is:</w:t>
      </w:r>
      <w:r>
        <w:rPr>
          <w:rFonts w:ascii="Calibri" w:hAnsi="Calibri" w:cs="Calibri"/>
          <w:b/>
          <w:bCs/>
          <w:color w:val="952308"/>
          <w:sz w:val="20"/>
        </w:rPr>
        <w:t xml:space="preserve"> </w:t>
      </w:r>
      <w:r w:rsidRPr="003F4540">
        <w:rPr>
          <w:rFonts w:ascii="Calibri" w:hAnsi="Calibri" w:cs="Calibri"/>
          <w:b/>
          <w:bCs/>
          <w:color w:val="952308"/>
          <w:sz w:val="20"/>
        </w:rPr>
        <w:t>NO LATER THAN WEDNESDAY, OCTOBER 16, 2024, BY 12:00 PM.</w:t>
      </w:r>
    </w:p>
    <w:p w14:paraId="29C6A5C9" w14:textId="6AAA4B5C" w:rsidR="004F6F3B" w:rsidRPr="004F6F3B" w:rsidRDefault="004F6F3B" w:rsidP="004F6F3B">
      <w:pPr>
        <w:tabs>
          <w:tab w:val="left" w:pos="8550"/>
        </w:tabs>
        <w:autoSpaceDE w:val="0"/>
        <w:autoSpaceDN w:val="0"/>
        <w:adjustRightInd w:val="0"/>
        <w:rPr>
          <w:rFonts w:ascii="Calibri" w:hAnsi="Calibri" w:cs="Calibri"/>
          <w:snapToGrid/>
          <w:sz w:val="21"/>
          <w:szCs w:val="21"/>
        </w:rPr>
      </w:pPr>
      <w:r w:rsidRPr="004F6F3B">
        <w:rPr>
          <w:rFonts w:ascii="Calibri" w:hAnsi="Calibri" w:cs="Calibri"/>
          <w:snapToGrid/>
          <w:sz w:val="21"/>
          <w:szCs w:val="21"/>
        </w:rPr>
        <w:t xml:space="preserve">Applications for Hearing Officer are accepted through October 16 by 12 PM which is the same deadline as for the currently open Commissioner position.  If interested, please apply for both.  Please note, the final selection for Commissioner will be announced first.  This will provide the applicants for both positions another opportunity to pursue.   </w:t>
      </w:r>
    </w:p>
    <w:p w14:paraId="18B928BC" w14:textId="44D2EBBB" w:rsidR="004F6F3B" w:rsidRPr="004F6F3B" w:rsidRDefault="004F6F3B" w:rsidP="004F6F3B">
      <w:pPr>
        <w:tabs>
          <w:tab w:val="left" w:pos="8550"/>
        </w:tabs>
        <w:autoSpaceDE w:val="0"/>
        <w:autoSpaceDN w:val="0"/>
        <w:adjustRightInd w:val="0"/>
        <w:rPr>
          <w:rFonts w:ascii="Calibri" w:hAnsi="Calibri" w:cs="Calibri"/>
          <w:b/>
          <w:bCs/>
          <w:snapToGrid/>
          <w:sz w:val="21"/>
          <w:szCs w:val="21"/>
        </w:rPr>
      </w:pPr>
      <w:r w:rsidRPr="004F6F3B">
        <w:rPr>
          <w:rFonts w:ascii="Calibri" w:hAnsi="Calibri" w:cs="Calibri"/>
          <w:b/>
          <w:bCs/>
          <w:snapToGrid/>
          <w:sz w:val="21"/>
          <w:szCs w:val="21"/>
        </w:rPr>
        <w:t>Indicate clearly on a cover letter/note which position(s) are you interested to be considered for.</w:t>
      </w:r>
    </w:p>
    <w:p w14:paraId="1F46CAF6" w14:textId="77777777" w:rsidR="004F6F3B" w:rsidRDefault="004F6F3B" w:rsidP="00C80FDD">
      <w:pPr>
        <w:tabs>
          <w:tab w:val="left" w:pos="8550"/>
        </w:tabs>
        <w:autoSpaceDE w:val="0"/>
        <w:autoSpaceDN w:val="0"/>
        <w:adjustRightInd w:val="0"/>
        <w:rPr>
          <w:rFonts w:ascii="Calibri" w:hAnsi="Calibri" w:cs="Calibri"/>
          <w:snapToGrid/>
          <w:sz w:val="21"/>
          <w:szCs w:val="21"/>
        </w:rPr>
      </w:pPr>
    </w:p>
    <w:p w14:paraId="31CAEB77" w14:textId="78F30D01" w:rsidR="00C80FDD" w:rsidRPr="00C80FDD" w:rsidRDefault="00BF2788" w:rsidP="00C80FDD">
      <w:pPr>
        <w:tabs>
          <w:tab w:val="left" w:pos="8550"/>
        </w:tabs>
        <w:autoSpaceDE w:val="0"/>
        <w:autoSpaceDN w:val="0"/>
        <w:adjustRightInd w:val="0"/>
        <w:rPr>
          <w:rFonts w:ascii="Calibri" w:hAnsi="Calibri" w:cs="Calibri"/>
          <w:snapToGrid/>
          <w:sz w:val="21"/>
          <w:szCs w:val="21"/>
        </w:rPr>
      </w:pPr>
      <w:r>
        <w:rPr>
          <w:rFonts w:ascii="Calibri" w:hAnsi="Calibri" w:cs="Calibri"/>
          <w:snapToGrid/>
          <w:sz w:val="21"/>
          <w:szCs w:val="21"/>
        </w:rPr>
        <w:t>A</w:t>
      </w:r>
      <w:r w:rsidR="00C80FDD" w:rsidRPr="00C80FDD">
        <w:rPr>
          <w:rFonts w:ascii="Calibri" w:hAnsi="Calibri" w:cs="Calibri"/>
          <w:snapToGrid/>
          <w:sz w:val="21"/>
          <w:szCs w:val="21"/>
        </w:rPr>
        <w:t xml:space="preserve">pplications will be </w:t>
      </w:r>
      <w:r w:rsidR="00B96308">
        <w:rPr>
          <w:rFonts w:ascii="Calibri" w:hAnsi="Calibri" w:cs="Calibri"/>
          <w:snapToGrid/>
          <w:sz w:val="21"/>
          <w:szCs w:val="21"/>
        </w:rPr>
        <w:t xml:space="preserve">forwarded </w:t>
      </w:r>
      <w:r w:rsidR="00C80FDD" w:rsidRPr="00C80FDD">
        <w:rPr>
          <w:rFonts w:ascii="Calibri" w:hAnsi="Calibri" w:cs="Calibri"/>
          <w:snapToGrid/>
          <w:sz w:val="21"/>
          <w:szCs w:val="21"/>
        </w:rPr>
        <w:t>to the</w:t>
      </w:r>
      <w:r w:rsidR="00B96308">
        <w:rPr>
          <w:rFonts w:ascii="Calibri" w:hAnsi="Calibri" w:cs="Calibri"/>
          <w:snapToGrid/>
          <w:sz w:val="21"/>
          <w:szCs w:val="21"/>
        </w:rPr>
        <w:t xml:space="preserve"> </w:t>
      </w:r>
      <w:r w:rsidR="00C80FDD" w:rsidRPr="00C80FDD">
        <w:rPr>
          <w:rFonts w:ascii="Calibri" w:hAnsi="Calibri" w:cs="Calibri"/>
          <w:snapToGrid/>
          <w:sz w:val="21"/>
          <w:szCs w:val="21"/>
        </w:rPr>
        <w:t xml:space="preserve">Merit Selection Committee. The Committee will review the applications, interview selected applicants, and recommend candidates to the Presiding Judge, who </w:t>
      </w:r>
      <w:r w:rsidR="00AF6EF4">
        <w:rPr>
          <w:rFonts w:ascii="Calibri" w:hAnsi="Calibri" w:cs="Calibri"/>
          <w:snapToGrid/>
          <w:sz w:val="21"/>
          <w:szCs w:val="21"/>
        </w:rPr>
        <w:t>will</w:t>
      </w:r>
      <w:r w:rsidR="00C80FDD" w:rsidRPr="00C80FDD">
        <w:rPr>
          <w:rFonts w:ascii="Calibri" w:hAnsi="Calibri" w:cs="Calibri"/>
          <w:snapToGrid/>
          <w:sz w:val="21"/>
          <w:szCs w:val="21"/>
        </w:rPr>
        <w:t xml:space="preserve"> make the appointment.  All applications </w:t>
      </w:r>
      <w:r w:rsidR="00AF6EF4">
        <w:rPr>
          <w:rFonts w:ascii="Calibri" w:hAnsi="Calibri" w:cs="Calibri"/>
          <w:snapToGrid/>
          <w:sz w:val="21"/>
          <w:szCs w:val="21"/>
        </w:rPr>
        <w:t xml:space="preserve">are </w:t>
      </w:r>
      <w:r w:rsidR="00E90620">
        <w:rPr>
          <w:rFonts w:ascii="Calibri" w:hAnsi="Calibri" w:cs="Calibri"/>
          <w:snapToGrid/>
          <w:sz w:val="21"/>
          <w:szCs w:val="21"/>
        </w:rPr>
        <w:t xml:space="preserve"> </w:t>
      </w:r>
      <w:r w:rsidR="00C80FDD" w:rsidRPr="00C80FDD">
        <w:rPr>
          <w:rFonts w:ascii="Calibri" w:hAnsi="Calibri" w:cs="Calibri"/>
          <w:snapToGrid/>
          <w:sz w:val="21"/>
          <w:szCs w:val="21"/>
        </w:rPr>
        <w:t>public record.</w:t>
      </w:r>
      <w:r w:rsidR="00C80FDD" w:rsidRPr="00C80FDD">
        <w:rPr>
          <w:rFonts w:ascii="Calibri" w:hAnsi="Calibri" w:cs="Calibri"/>
          <w:snapToGrid/>
          <w:color w:val="1F497D"/>
          <w:sz w:val="21"/>
          <w:szCs w:val="21"/>
        </w:rPr>
        <w:t xml:space="preserve"> </w:t>
      </w:r>
      <w:r w:rsidR="006B6D99">
        <w:rPr>
          <w:rFonts w:ascii="Calibri" w:hAnsi="Calibri" w:cs="Calibri"/>
          <w:snapToGrid/>
          <w:color w:val="1F497D"/>
          <w:sz w:val="21"/>
          <w:szCs w:val="21"/>
        </w:rPr>
        <w:t xml:space="preserve">Please direct any </w:t>
      </w:r>
      <w:r w:rsidR="00A867B3">
        <w:rPr>
          <w:rFonts w:ascii="Calibri" w:hAnsi="Calibri" w:cs="Calibri"/>
          <w:snapToGrid/>
          <w:color w:val="1F497D"/>
          <w:sz w:val="21"/>
          <w:szCs w:val="21"/>
        </w:rPr>
        <w:t>q</w:t>
      </w:r>
      <w:r w:rsidR="00C80FDD" w:rsidRPr="00C80FDD">
        <w:rPr>
          <w:rFonts w:ascii="Calibri" w:hAnsi="Calibri" w:cs="Calibri"/>
          <w:snapToGrid/>
          <w:sz w:val="21"/>
          <w:szCs w:val="21"/>
        </w:rPr>
        <w:t>uestions to Human Resources: (520) 724-4217.</w:t>
      </w:r>
    </w:p>
    <w:p w14:paraId="50B7FB09" w14:textId="77777777" w:rsidR="00C80FDD" w:rsidRPr="00C80FDD" w:rsidRDefault="00C80FDD" w:rsidP="00C80FDD">
      <w:pPr>
        <w:tabs>
          <w:tab w:val="left" w:pos="8550"/>
        </w:tabs>
        <w:autoSpaceDE w:val="0"/>
        <w:autoSpaceDN w:val="0"/>
        <w:adjustRightInd w:val="0"/>
        <w:jc w:val="both"/>
        <w:rPr>
          <w:rFonts w:ascii="Calibri" w:hAnsi="Calibri" w:cs="Calibri"/>
          <w:snapToGrid/>
          <w:sz w:val="21"/>
          <w:szCs w:val="21"/>
        </w:rPr>
      </w:pPr>
    </w:p>
    <w:p w14:paraId="2C29E97D" w14:textId="37208533" w:rsidR="00921FFD" w:rsidRPr="00124711" w:rsidRDefault="00A867B3" w:rsidP="00124711">
      <w:pPr>
        <w:tabs>
          <w:tab w:val="left" w:pos="8550"/>
        </w:tabs>
        <w:autoSpaceDE w:val="0"/>
        <w:autoSpaceDN w:val="0"/>
        <w:adjustRightInd w:val="0"/>
        <w:jc w:val="both"/>
        <w:rPr>
          <w:rFonts w:asciiTheme="minorHAnsi" w:hAnsiTheme="minorHAnsi" w:cstheme="minorHAnsi"/>
          <w:b/>
          <w:sz w:val="21"/>
          <w:szCs w:val="21"/>
        </w:rPr>
      </w:pPr>
      <w:r>
        <w:rPr>
          <w:rFonts w:ascii="Calibri" w:hAnsi="Calibri" w:cs="Calibri"/>
          <w:snapToGrid/>
          <w:sz w:val="21"/>
          <w:szCs w:val="21"/>
        </w:rPr>
        <w:t>A</w:t>
      </w:r>
      <w:r w:rsidR="00C80FDD" w:rsidRPr="00C80FDD">
        <w:rPr>
          <w:rFonts w:ascii="Calibri" w:hAnsi="Calibri" w:cs="Calibri"/>
          <w:snapToGrid/>
          <w:sz w:val="21"/>
          <w:szCs w:val="21"/>
        </w:rPr>
        <w:t>t its discretion,</w:t>
      </w:r>
      <w:r>
        <w:rPr>
          <w:rFonts w:ascii="Calibri" w:hAnsi="Calibri" w:cs="Calibri"/>
          <w:snapToGrid/>
          <w:sz w:val="21"/>
          <w:szCs w:val="21"/>
        </w:rPr>
        <w:t xml:space="preserve"> the Committee will </w:t>
      </w:r>
      <w:r w:rsidR="00373A3F">
        <w:rPr>
          <w:rFonts w:ascii="Calibri" w:hAnsi="Calibri" w:cs="Calibri"/>
          <w:snapToGrid/>
          <w:sz w:val="21"/>
          <w:szCs w:val="21"/>
        </w:rPr>
        <w:t xml:space="preserve">consider submitted </w:t>
      </w:r>
      <w:r w:rsidR="00C80FDD" w:rsidRPr="00C80FDD">
        <w:rPr>
          <w:rFonts w:ascii="Calibri" w:hAnsi="Calibri" w:cs="Calibri"/>
          <w:snapToGrid/>
          <w:sz w:val="21"/>
          <w:szCs w:val="21"/>
        </w:rPr>
        <w:t>applications for th</w:t>
      </w:r>
      <w:r w:rsidR="00373A3F">
        <w:rPr>
          <w:rFonts w:ascii="Calibri" w:hAnsi="Calibri" w:cs="Calibri"/>
          <w:snapToGrid/>
          <w:sz w:val="21"/>
          <w:szCs w:val="21"/>
        </w:rPr>
        <w:t>is</w:t>
      </w:r>
      <w:r w:rsidR="00C80FDD" w:rsidRPr="00C80FDD">
        <w:rPr>
          <w:rFonts w:ascii="Calibri" w:hAnsi="Calibri" w:cs="Calibri"/>
          <w:snapToGrid/>
          <w:sz w:val="21"/>
          <w:szCs w:val="21"/>
        </w:rPr>
        <w:t xml:space="preserve"> vacancy as an application for </w:t>
      </w:r>
      <w:r w:rsidR="00373A3F">
        <w:rPr>
          <w:rFonts w:ascii="Calibri" w:hAnsi="Calibri" w:cs="Calibri"/>
          <w:snapToGrid/>
          <w:sz w:val="21"/>
          <w:szCs w:val="21"/>
        </w:rPr>
        <w:t xml:space="preserve">any </w:t>
      </w:r>
      <w:r w:rsidR="00C80FDD" w:rsidRPr="00C80FDD">
        <w:rPr>
          <w:rFonts w:ascii="Calibri" w:hAnsi="Calibri" w:cs="Calibri"/>
          <w:snapToGrid/>
          <w:sz w:val="21"/>
          <w:szCs w:val="21"/>
        </w:rPr>
        <w:t>similar vacancy that become</w:t>
      </w:r>
      <w:r w:rsidR="00373A3F">
        <w:rPr>
          <w:rFonts w:ascii="Calibri" w:hAnsi="Calibri" w:cs="Calibri"/>
          <w:snapToGrid/>
          <w:sz w:val="21"/>
          <w:szCs w:val="21"/>
        </w:rPr>
        <w:t>s</w:t>
      </w:r>
      <w:r w:rsidR="00C80FDD" w:rsidRPr="00C80FDD">
        <w:rPr>
          <w:rFonts w:ascii="Calibri" w:hAnsi="Calibri" w:cs="Calibri"/>
          <w:snapToGrid/>
          <w:sz w:val="21"/>
          <w:szCs w:val="21"/>
        </w:rPr>
        <w:t xml:space="preserve"> known to the Committee after the application has been submitted.  </w:t>
      </w:r>
    </w:p>
    <w:sectPr w:rsidR="00921FFD" w:rsidRPr="00124711" w:rsidSect="00013A67">
      <w:endnotePr>
        <w:numFmt w:val="decimal"/>
      </w:endnotePr>
      <w:pgSz w:w="12240" w:h="15840"/>
      <w:pgMar w:top="360" w:right="720" w:bottom="270" w:left="720" w:header="360" w:footer="1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30F33" w14:textId="77777777" w:rsidR="007B41AC" w:rsidRDefault="007B41AC" w:rsidP="00647845">
      <w:r>
        <w:separator/>
      </w:r>
    </w:p>
  </w:endnote>
  <w:endnote w:type="continuationSeparator" w:id="0">
    <w:p w14:paraId="20375ACA" w14:textId="77777777" w:rsidR="007B41AC" w:rsidRDefault="007B41AC" w:rsidP="0064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70A0C" w14:textId="77777777" w:rsidR="007B41AC" w:rsidRDefault="007B41AC" w:rsidP="00647845">
      <w:r>
        <w:separator/>
      </w:r>
    </w:p>
  </w:footnote>
  <w:footnote w:type="continuationSeparator" w:id="0">
    <w:p w14:paraId="6B02D0F3" w14:textId="77777777" w:rsidR="007B41AC" w:rsidRDefault="007B41AC" w:rsidP="0064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35CD"/>
    <w:multiLevelType w:val="hybridMultilevel"/>
    <w:tmpl w:val="76B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96E4E"/>
    <w:multiLevelType w:val="multilevel"/>
    <w:tmpl w:val="1110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B5186"/>
    <w:multiLevelType w:val="hybridMultilevel"/>
    <w:tmpl w:val="74FA3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D232B"/>
    <w:multiLevelType w:val="hybridMultilevel"/>
    <w:tmpl w:val="50DE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94586"/>
    <w:multiLevelType w:val="hybridMultilevel"/>
    <w:tmpl w:val="400EB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955D1"/>
    <w:multiLevelType w:val="multilevel"/>
    <w:tmpl w:val="01BE4C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705E28"/>
    <w:multiLevelType w:val="hybridMultilevel"/>
    <w:tmpl w:val="D19CD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0740E"/>
    <w:multiLevelType w:val="hybridMultilevel"/>
    <w:tmpl w:val="1982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0581F"/>
    <w:multiLevelType w:val="multilevel"/>
    <w:tmpl w:val="BAA2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43A7E"/>
    <w:multiLevelType w:val="hybridMultilevel"/>
    <w:tmpl w:val="5D62F1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A751C3"/>
    <w:multiLevelType w:val="hybridMultilevel"/>
    <w:tmpl w:val="B35661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BD3CEB"/>
    <w:multiLevelType w:val="hybridMultilevel"/>
    <w:tmpl w:val="203AB366"/>
    <w:lvl w:ilvl="0" w:tplc="FD7C160C">
      <w:numFmt w:val="bullet"/>
      <w:lvlText w:val="-"/>
      <w:lvlJc w:val="left"/>
      <w:pPr>
        <w:ind w:left="720" w:hanging="360"/>
      </w:pPr>
      <w:rPr>
        <w:rFonts w:ascii="Agency FB" w:eastAsia="Times New Roman" w:hAnsi="Agency FB"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0472D"/>
    <w:multiLevelType w:val="multilevel"/>
    <w:tmpl w:val="9F2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A4319"/>
    <w:multiLevelType w:val="hybridMultilevel"/>
    <w:tmpl w:val="B74C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A56DB"/>
    <w:multiLevelType w:val="multilevel"/>
    <w:tmpl w:val="01BE4C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5463498">
    <w:abstractNumId w:val="3"/>
  </w:num>
  <w:num w:numId="2" w16cid:durableId="161047729">
    <w:abstractNumId w:val="4"/>
  </w:num>
  <w:num w:numId="3" w16cid:durableId="181362700">
    <w:abstractNumId w:val="6"/>
  </w:num>
  <w:num w:numId="4" w16cid:durableId="317422137">
    <w:abstractNumId w:val="10"/>
  </w:num>
  <w:num w:numId="5" w16cid:durableId="1682582840">
    <w:abstractNumId w:val="2"/>
  </w:num>
  <w:num w:numId="6" w16cid:durableId="1475441089">
    <w:abstractNumId w:val="5"/>
  </w:num>
  <w:num w:numId="7" w16cid:durableId="2021664417">
    <w:abstractNumId w:val="14"/>
  </w:num>
  <w:num w:numId="8" w16cid:durableId="128060522">
    <w:abstractNumId w:val="8"/>
  </w:num>
  <w:num w:numId="9" w16cid:durableId="1312447863">
    <w:abstractNumId w:val="7"/>
  </w:num>
  <w:num w:numId="10" w16cid:durableId="41255084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16cid:durableId="1257520640">
    <w:abstractNumId w:val="13"/>
  </w:num>
  <w:num w:numId="12" w16cid:durableId="31734443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16cid:durableId="1957175361">
    <w:abstractNumId w:val="0"/>
  </w:num>
  <w:num w:numId="14" w16cid:durableId="2085639953">
    <w:abstractNumId w:val="9"/>
  </w:num>
  <w:num w:numId="15" w16cid:durableId="619996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F1"/>
    <w:rsid w:val="000064AC"/>
    <w:rsid w:val="00013A67"/>
    <w:rsid w:val="00046116"/>
    <w:rsid w:val="00066B07"/>
    <w:rsid w:val="00081524"/>
    <w:rsid w:val="00092097"/>
    <w:rsid w:val="000A3614"/>
    <w:rsid w:val="000B4AB1"/>
    <w:rsid w:val="000B51AF"/>
    <w:rsid w:val="000C0D48"/>
    <w:rsid w:val="000C2590"/>
    <w:rsid w:val="000C5CD6"/>
    <w:rsid w:val="000C67F7"/>
    <w:rsid w:val="000D0AE6"/>
    <w:rsid w:val="000D5038"/>
    <w:rsid w:val="000E09A6"/>
    <w:rsid w:val="000E0CA2"/>
    <w:rsid w:val="000F0652"/>
    <w:rsid w:val="000F720A"/>
    <w:rsid w:val="001058A0"/>
    <w:rsid w:val="00111E2A"/>
    <w:rsid w:val="00113E94"/>
    <w:rsid w:val="00124711"/>
    <w:rsid w:val="001372D1"/>
    <w:rsid w:val="00147650"/>
    <w:rsid w:val="00154704"/>
    <w:rsid w:val="00162D7C"/>
    <w:rsid w:val="001A0CA4"/>
    <w:rsid w:val="001A6B95"/>
    <w:rsid w:val="001B2905"/>
    <w:rsid w:val="001B72EF"/>
    <w:rsid w:val="001C117A"/>
    <w:rsid w:val="001C2A8E"/>
    <w:rsid w:val="001C5927"/>
    <w:rsid w:val="001C5C0B"/>
    <w:rsid w:val="001F692D"/>
    <w:rsid w:val="00206109"/>
    <w:rsid w:val="00210310"/>
    <w:rsid w:val="00223DB5"/>
    <w:rsid w:val="00226FE4"/>
    <w:rsid w:val="00231092"/>
    <w:rsid w:val="0023370F"/>
    <w:rsid w:val="00234D75"/>
    <w:rsid w:val="00240EBE"/>
    <w:rsid w:val="00241476"/>
    <w:rsid w:val="00243B48"/>
    <w:rsid w:val="00277DFA"/>
    <w:rsid w:val="002818CD"/>
    <w:rsid w:val="002A7C7C"/>
    <w:rsid w:val="002C74BA"/>
    <w:rsid w:val="002F4703"/>
    <w:rsid w:val="003121F1"/>
    <w:rsid w:val="003173CC"/>
    <w:rsid w:val="00330AC2"/>
    <w:rsid w:val="00334231"/>
    <w:rsid w:val="00342766"/>
    <w:rsid w:val="00343288"/>
    <w:rsid w:val="0035195C"/>
    <w:rsid w:val="00373A3F"/>
    <w:rsid w:val="00390428"/>
    <w:rsid w:val="003A662A"/>
    <w:rsid w:val="003B5F72"/>
    <w:rsid w:val="003B77F4"/>
    <w:rsid w:val="003C00CA"/>
    <w:rsid w:val="003D0898"/>
    <w:rsid w:val="003D1A19"/>
    <w:rsid w:val="003E15CE"/>
    <w:rsid w:val="003F14B2"/>
    <w:rsid w:val="00400244"/>
    <w:rsid w:val="0040066D"/>
    <w:rsid w:val="00401FFD"/>
    <w:rsid w:val="0040345C"/>
    <w:rsid w:val="004041AB"/>
    <w:rsid w:val="0041112E"/>
    <w:rsid w:val="00412C07"/>
    <w:rsid w:val="00435731"/>
    <w:rsid w:val="00436652"/>
    <w:rsid w:val="0044040A"/>
    <w:rsid w:val="00441DFC"/>
    <w:rsid w:val="00442242"/>
    <w:rsid w:val="00445EC4"/>
    <w:rsid w:val="004500A8"/>
    <w:rsid w:val="0047296E"/>
    <w:rsid w:val="0048354F"/>
    <w:rsid w:val="00494923"/>
    <w:rsid w:val="004A472C"/>
    <w:rsid w:val="004D733E"/>
    <w:rsid w:val="004E4DB8"/>
    <w:rsid w:val="004E6A53"/>
    <w:rsid w:val="004F6F3B"/>
    <w:rsid w:val="004F72A4"/>
    <w:rsid w:val="00517CD3"/>
    <w:rsid w:val="00523826"/>
    <w:rsid w:val="0052505E"/>
    <w:rsid w:val="005302CD"/>
    <w:rsid w:val="00540035"/>
    <w:rsid w:val="00540D24"/>
    <w:rsid w:val="00540DAB"/>
    <w:rsid w:val="00542971"/>
    <w:rsid w:val="00554E3C"/>
    <w:rsid w:val="005718DC"/>
    <w:rsid w:val="00580793"/>
    <w:rsid w:val="00583031"/>
    <w:rsid w:val="00592F14"/>
    <w:rsid w:val="005942D0"/>
    <w:rsid w:val="0059701E"/>
    <w:rsid w:val="0059736F"/>
    <w:rsid w:val="005A5F2F"/>
    <w:rsid w:val="005B13BE"/>
    <w:rsid w:val="005B348A"/>
    <w:rsid w:val="005C4C4E"/>
    <w:rsid w:val="005C79DC"/>
    <w:rsid w:val="00600CAC"/>
    <w:rsid w:val="00615402"/>
    <w:rsid w:val="00634542"/>
    <w:rsid w:val="00640D6F"/>
    <w:rsid w:val="00647845"/>
    <w:rsid w:val="00656892"/>
    <w:rsid w:val="006609B9"/>
    <w:rsid w:val="00663B55"/>
    <w:rsid w:val="006750E9"/>
    <w:rsid w:val="006836C9"/>
    <w:rsid w:val="006A064C"/>
    <w:rsid w:val="006B38C3"/>
    <w:rsid w:val="006B5F29"/>
    <w:rsid w:val="006B6D99"/>
    <w:rsid w:val="006C7D79"/>
    <w:rsid w:val="006D23C4"/>
    <w:rsid w:val="006D6AA2"/>
    <w:rsid w:val="006D7733"/>
    <w:rsid w:val="006E3C39"/>
    <w:rsid w:val="00706822"/>
    <w:rsid w:val="00730963"/>
    <w:rsid w:val="007464D8"/>
    <w:rsid w:val="007477AB"/>
    <w:rsid w:val="00754E28"/>
    <w:rsid w:val="0075729D"/>
    <w:rsid w:val="007605E2"/>
    <w:rsid w:val="00790662"/>
    <w:rsid w:val="007A3980"/>
    <w:rsid w:val="007A6060"/>
    <w:rsid w:val="007B41AC"/>
    <w:rsid w:val="007D66E0"/>
    <w:rsid w:val="007E1142"/>
    <w:rsid w:val="007E53C7"/>
    <w:rsid w:val="007F4452"/>
    <w:rsid w:val="00825A43"/>
    <w:rsid w:val="00827B8D"/>
    <w:rsid w:val="00853F1B"/>
    <w:rsid w:val="008816CA"/>
    <w:rsid w:val="00883793"/>
    <w:rsid w:val="00897D76"/>
    <w:rsid w:val="008C1FE8"/>
    <w:rsid w:val="008D21E6"/>
    <w:rsid w:val="008D54C2"/>
    <w:rsid w:val="008D5788"/>
    <w:rsid w:val="008E1C68"/>
    <w:rsid w:val="008E6349"/>
    <w:rsid w:val="008F31B7"/>
    <w:rsid w:val="0090046A"/>
    <w:rsid w:val="00903247"/>
    <w:rsid w:val="00903CD9"/>
    <w:rsid w:val="009077EE"/>
    <w:rsid w:val="00913354"/>
    <w:rsid w:val="00921FFD"/>
    <w:rsid w:val="009225BF"/>
    <w:rsid w:val="009226E9"/>
    <w:rsid w:val="009249D6"/>
    <w:rsid w:val="009655FD"/>
    <w:rsid w:val="00973135"/>
    <w:rsid w:val="00973F91"/>
    <w:rsid w:val="00990CEA"/>
    <w:rsid w:val="009A7CBB"/>
    <w:rsid w:val="009B6201"/>
    <w:rsid w:val="009E16B1"/>
    <w:rsid w:val="009E2C38"/>
    <w:rsid w:val="009E4FF4"/>
    <w:rsid w:val="009F5F08"/>
    <w:rsid w:val="00A06A12"/>
    <w:rsid w:val="00A0787C"/>
    <w:rsid w:val="00A20989"/>
    <w:rsid w:val="00A2316D"/>
    <w:rsid w:val="00A83151"/>
    <w:rsid w:val="00A845E5"/>
    <w:rsid w:val="00A867B3"/>
    <w:rsid w:val="00AB1F27"/>
    <w:rsid w:val="00AB2DA0"/>
    <w:rsid w:val="00AB3D1D"/>
    <w:rsid w:val="00AD41B9"/>
    <w:rsid w:val="00AE0502"/>
    <w:rsid w:val="00AF5DFB"/>
    <w:rsid w:val="00AF6EF4"/>
    <w:rsid w:val="00B063B1"/>
    <w:rsid w:val="00B07342"/>
    <w:rsid w:val="00B2003F"/>
    <w:rsid w:val="00B2780C"/>
    <w:rsid w:val="00B43479"/>
    <w:rsid w:val="00B96308"/>
    <w:rsid w:val="00BA3061"/>
    <w:rsid w:val="00BB761B"/>
    <w:rsid w:val="00BE688D"/>
    <w:rsid w:val="00BF2788"/>
    <w:rsid w:val="00BF5B88"/>
    <w:rsid w:val="00C104C5"/>
    <w:rsid w:val="00C11630"/>
    <w:rsid w:val="00C156BF"/>
    <w:rsid w:val="00C27A17"/>
    <w:rsid w:val="00C32AD4"/>
    <w:rsid w:val="00C4046D"/>
    <w:rsid w:val="00C4684D"/>
    <w:rsid w:val="00C51B3C"/>
    <w:rsid w:val="00C80FDD"/>
    <w:rsid w:val="00CB4B62"/>
    <w:rsid w:val="00CD1140"/>
    <w:rsid w:val="00CE01DC"/>
    <w:rsid w:val="00CE1D28"/>
    <w:rsid w:val="00CF15DA"/>
    <w:rsid w:val="00CF7FF4"/>
    <w:rsid w:val="00D1783E"/>
    <w:rsid w:val="00D17D13"/>
    <w:rsid w:val="00D21C0B"/>
    <w:rsid w:val="00D2483E"/>
    <w:rsid w:val="00D37B90"/>
    <w:rsid w:val="00D42608"/>
    <w:rsid w:val="00D433D2"/>
    <w:rsid w:val="00D64635"/>
    <w:rsid w:val="00D66165"/>
    <w:rsid w:val="00D7162D"/>
    <w:rsid w:val="00D7219B"/>
    <w:rsid w:val="00D72B95"/>
    <w:rsid w:val="00D7762A"/>
    <w:rsid w:val="00DA0644"/>
    <w:rsid w:val="00DB1A1D"/>
    <w:rsid w:val="00DD1C27"/>
    <w:rsid w:val="00DE10FF"/>
    <w:rsid w:val="00DE1C5E"/>
    <w:rsid w:val="00DE7321"/>
    <w:rsid w:val="00DF3321"/>
    <w:rsid w:val="00DF737E"/>
    <w:rsid w:val="00E27FA6"/>
    <w:rsid w:val="00E30226"/>
    <w:rsid w:val="00E32E3B"/>
    <w:rsid w:val="00E35262"/>
    <w:rsid w:val="00E535F1"/>
    <w:rsid w:val="00E53A78"/>
    <w:rsid w:val="00E54B54"/>
    <w:rsid w:val="00E57D4D"/>
    <w:rsid w:val="00E67CFC"/>
    <w:rsid w:val="00E75D00"/>
    <w:rsid w:val="00E83B61"/>
    <w:rsid w:val="00E90620"/>
    <w:rsid w:val="00EA27C3"/>
    <w:rsid w:val="00EB3D47"/>
    <w:rsid w:val="00EB4FDB"/>
    <w:rsid w:val="00EB7EBE"/>
    <w:rsid w:val="00ED01B5"/>
    <w:rsid w:val="00EE2924"/>
    <w:rsid w:val="00EE4648"/>
    <w:rsid w:val="00EF10A0"/>
    <w:rsid w:val="00F01C13"/>
    <w:rsid w:val="00F14792"/>
    <w:rsid w:val="00F230C5"/>
    <w:rsid w:val="00F26518"/>
    <w:rsid w:val="00F35C51"/>
    <w:rsid w:val="00F44F40"/>
    <w:rsid w:val="00F66199"/>
    <w:rsid w:val="00F86AD7"/>
    <w:rsid w:val="00F920E0"/>
    <w:rsid w:val="00F95BA3"/>
    <w:rsid w:val="00FA0F2E"/>
    <w:rsid w:val="00FB4517"/>
    <w:rsid w:val="00FB56F1"/>
    <w:rsid w:val="00FC480C"/>
    <w:rsid w:val="00FC5628"/>
    <w:rsid w:val="00FC5805"/>
    <w:rsid w:val="00FF0E1A"/>
    <w:rsid w:val="00FF6AC3"/>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83215"/>
  <w15:docId w15:val="{7912D4F9-C29C-4262-AF49-2C5F5B86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F1"/>
    <w:pPr>
      <w:widowControl w:val="0"/>
    </w:pPr>
    <w:rPr>
      <w:rFonts w:ascii="Courier New" w:hAnsi="Courier New"/>
      <w:snapToGrid w:val="0"/>
      <w:sz w:val="24"/>
    </w:rPr>
  </w:style>
  <w:style w:type="paragraph" w:styleId="Heading1">
    <w:name w:val="heading 1"/>
    <w:basedOn w:val="Normal"/>
    <w:next w:val="Normal"/>
    <w:qFormat/>
    <w:rsid w:val="00E535F1"/>
    <w:pPr>
      <w:keepNext/>
      <w:jc w:val="both"/>
      <w:outlineLvl w:val="0"/>
    </w:pPr>
    <w:rPr>
      <w:b/>
    </w:rPr>
  </w:style>
  <w:style w:type="paragraph" w:styleId="Heading2">
    <w:name w:val="heading 2"/>
    <w:basedOn w:val="Normal"/>
    <w:next w:val="Normal"/>
    <w:link w:val="Heading2Char"/>
    <w:semiHidden/>
    <w:unhideWhenUsed/>
    <w:qFormat/>
    <w:rsid w:val="00B278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535F1"/>
    <w:pPr>
      <w:tabs>
        <w:tab w:val="left" w:pos="-1440"/>
      </w:tabs>
      <w:ind w:left="8640" w:hanging="7200"/>
    </w:pPr>
  </w:style>
  <w:style w:type="paragraph" w:styleId="ListParagraph">
    <w:name w:val="List Paragraph"/>
    <w:basedOn w:val="Normal"/>
    <w:uiPriority w:val="34"/>
    <w:qFormat/>
    <w:rsid w:val="007477AB"/>
    <w:pPr>
      <w:ind w:left="720"/>
      <w:contextualSpacing/>
    </w:pPr>
  </w:style>
  <w:style w:type="paragraph" w:styleId="BalloonText">
    <w:name w:val="Balloon Text"/>
    <w:basedOn w:val="Normal"/>
    <w:link w:val="BalloonTextChar"/>
    <w:rsid w:val="00AB3D1D"/>
    <w:rPr>
      <w:rFonts w:ascii="Tahoma" w:hAnsi="Tahoma" w:cs="Tahoma"/>
      <w:sz w:val="16"/>
      <w:szCs w:val="16"/>
    </w:rPr>
  </w:style>
  <w:style w:type="character" w:customStyle="1" w:styleId="BalloonTextChar">
    <w:name w:val="Balloon Text Char"/>
    <w:basedOn w:val="DefaultParagraphFont"/>
    <w:link w:val="BalloonText"/>
    <w:rsid w:val="00AB3D1D"/>
    <w:rPr>
      <w:rFonts w:ascii="Tahoma" w:hAnsi="Tahoma" w:cs="Tahoma"/>
      <w:snapToGrid w:val="0"/>
      <w:sz w:val="16"/>
      <w:szCs w:val="16"/>
    </w:rPr>
  </w:style>
  <w:style w:type="character" w:styleId="Hyperlink">
    <w:name w:val="Hyperlink"/>
    <w:basedOn w:val="DefaultParagraphFont"/>
    <w:rsid w:val="00883793"/>
    <w:rPr>
      <w:color w:val="0000FF" w:themeColor="hyperlink"/>
      <w:u w:val="single"/>
    </w:rPr>
  </w:style>
  <w:style w:type="character" w:styleId="Strong">
    <w:name w:val="Strong"/>
    <w:basedOn w:val="DefaultParagraphFont"/>
    <w:uiPriority w:val="22"/>
    <w:qFormat/>
    <w:rsid w:val="00AB1F27"/>
    <w:rPr>
      <w:b/>
      <w:bCs/>
    </w:rPr>
  </w:style>
  <w:style w:type="paragraph" w:styleId="Header">
    <w:name w:val="header"/>
    <w:basedOn w:val="Normal"/>
    <w:link w:val="HeaderChar"/>
    <w:uiPriority w:val="99"/>
    <w:rsid w:val="00647845"/>
    <w:pPr>
      <w:tabs>
        <w:tab w:val="center" w:pos="4680"/>
        <w:tab w:val="right" w:pos="9360"/>
      </w:tabs>
    </w:pPr>
  </w:style>
  <w:style w:type="character" w:customStyle="1" w:styleId="HeaderChar">
    <w:name w:val="Header Char"/>
    <w:basedOn w:val="DefaultParagraphFont"/>
    <w:link w:val="Header"/>
    <w:uiPriority w:val="99"/>
    <w:rsid w:val="00647845"/>
    <w:rPr>
      <w:rFonts w:ascii="Courier New" w:hAnsi="Courier New"/>
      <w:snapToGrid w:val="0"/>
      <w:sz w:val="24"/>
    </w:rPr>
  </w:style>
  <w:style w:type="paragraph" w:styleId="Footer">
    <w:name w:val="footer"/>
    <w:basedOn w:val="Normal"/>
    <w:link w:val="FooterChar"/>
    <w:rsid w:val="00647845"/>
    <w:pPr>
      <w:tabs>
        <w:tab w:val="center" w:pos="4680"/>
        <w:tab w:val="right" w:pos="9360"/>
      </w:tabs>
    </w:pPr>
  </w:style>
  <w:style w:type="character" w:customStyle="1" w:styleId="FooterChar">
    <w:name w:val="Footer Char"/>
    <w:basedOn w:val="DefaultParagraphFont"/>
    <w:link w:val="Footer"/>
    <w:rsid w:val="00647845"/>
    <w:rPr>
      <w:rFonts w:ascii="Courier New" w:hAnsi="Courier New"/>
      <w:snapToGrid w:val="0"/>
      <w:sz w:val="24"/>
    </w:rPr>
  </w:style>
  <w:style w:type="table" w:styleId="TableGrid">
    <w:name w:val="Table Grid"/>
    <w:basedOn w:val="TableNormal"/>
    <w:rsid w:val="003C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77EE"/>
    <w:pPr>
      <w:widowControl w:val="0"/>
    </w:pPr>
    <w:rPr>
      <w:rFonts w:ascii="Courier New" w:hAnsi="Courier New"/>
      <w:snapToGrid w:val="0"/>
      <w:sz w:val="24"/>
    </w:rPr>
  </w:style>
  <w:style w:type="character" w:styleId="FollowedHyperlink">
    <w:name w:val="FollowedHyperlink"/>
    <w:basedOn w:val="DefaultParagraphFont"/>
    <w:rsid w:val="00CB4B62"/>
    <w:rPr>
      <w:color w:val="800080" w:themeColor="followedHyperlink"/>
      <w:u w:val="single"/>
    </w:rPr>
  </w:style>
  <w:style w:type="paragraph" w:styleId="BodyText">
    <w:name w:val="Body Text"/>
    <w:basedOn w:val="Normal"/>
    <w:link w:val="BodyTextChar"/>
    <w:semiHidden/>
    <w:unhideWhenUsed/>
    <w:rsid w:val="00C104C5"/>
    <w:pPr>
      <w:spacing w:after="120"/>
    </w:pPr>
  </w:style>
  <w:style w:type="character" w:customStyle="1" w:styleId="BodyTextChar">
    <w:name w:val="Body Text Char"/>
    <w:basedOn w:val="DefaultParagraphFont"/>
    <w:link w:val="BodyText"/>
    <w:semiHidden/>
    <w:rsid w:val="00C104C5"/>
    <w:rPr>
      <w:rFonts w:ascii="Courier New" w:hAnsi="Courier New"/>
      <w:snapToGrid w:val="0"/>
      <w:sz w:val="24"/>
    </w:rPr>
  </w:style>
  <w:style w:type="character" w:styleId="UnresolvedMention">
    <w:name w:val="Unresolved Mention"/>
    <w:basedOn w:val="DefaultParagraphFont"/>
    <w:uiPriority w:val="99"/>
    <w:semiHidden/>
    <w:unhideWhenUsed/>
    <w:rsid w:val="00445EC4"/>
    <w:rPr>
      <w:color w:val="605E5C"/>
      <w:shd w:val="clear" w:color="auto" w:fill="E1DFDD"/>
    </w:rPr>
  </w:style>
  <w:style w:type="character" w:customStyle="1" w:styleId="Heading2Char">
    <w:name w:val="Heading 2 Char"/>
    <w:basedOn w:val="DefaultParagraphFont"/>
    <w:link w:val="Heading2"/>
    <w:semiHidden/>
    <w:rsid w:val="00B2780C"/>
    <w:rPr>
      <w:rFonts w:asciiTheme="majorHAnsi" w:eastAsiaTheme="majorEastAsia" w:hAnsiTheme="majorHAnsi" w:cstheme="majorBidi"/>
      <w:snapToGrid w:val="0"/>
      <w:color w:val="365F91" w:themeColor="accent1" w:themeShade="BF"/>
      <w:sz w:val="26"/>
      <w:szCs w:val="26"/>
    </w:rPr>
  </w:style>
  <w:style w:type="paragraph" w:styleId="Revision">
    <w:name w:val="Revision"/>
    <w:hidden/>
    <w:uiPriority w:val="99"/>
    <w:semiHidden/>
    <w:rsid w:val="00FC480C"/>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2261">
      <w:bodyDiv w:val="1"/>
      <w:marLeft w:val="0"/>
      <w:marRight w:val="0"/>
      <w:marTop w:val="0"/>
      <w:marBottom w:val="0"/>
      <w:divBdr>
        <w:top w:val="none" w:sz="0" w:space="0" w:color="auto"/>
        <w:left w:val="none" w:sz="0" w:space="0" w:color="auto"/>
        <w:bottom w:val="none" w:sz="0" w:space="0" w:color="auto"/>
        <w:right w:val="none" w:sz="0" w:space="0" w:color="auto"/>
      </w:divBdr>
      <w:divsChild>
        <w:div w:id="1857695644">
          <w:marLeft w:val="0"/>
          <w:marRight w:val="0"/>
          <w:marTop w:val="0"/>
          <w:marBottom w:val="0"/>
          <w:divBdr>
            <w:top w:val="none" w:sz="0" w:space="0" w:color="auto"/>
            <w:left w:val="none" w:sz="0" w:space="0" w:color="auto"/>
            <w:bottom w:val="none" w:sz="0" w:space="0" w:color="auto"/>
            <w:right w:val="none" w:sz="0" w:space="0" w:color="auto"/>
          </w:divBdr>
        </w:div>
      </w:divsChild>
    </w:div>
    <w:div w:id="947392809">
      <w:bodyDiv w:val="1"/>
      <w:marLeft w:val="0"/>
      <w:marRight w:val="0"/>
      <w:marTop w:val="0"/>
      <w:marBottom w:val="0"/>
      <w:divBdr>
        <w:top w:val="none" w:sz="0" w:space="0" w:color="auto"/>
        <w:left w:val="none" w:sz="0" w:space="0" w:color="auto"/>
        <w:bottom w:val="none" w:sz="0" w:space="0" w:color="auto"/>
        <w:right w:val="none" w:sz="0" w:space="0" w:color="auto"/>
      </w:divBdr>
      <w:divsChild>
        <w:div w:id="1749032440">
          <w:marLeft w:val="0"/>
          <w:marRight w:val="0"/>
          <w:marTop w:val="0"/>
          <w:marBottom w:val="0"/>
          <w:divBdr>
            <w:top w:val="none" w:sz="0" w:space="0" w:color="auto"/>
            <w:left w:val="none" w:sz="0" w:space="0" w:color="auto"/>
            <w:bottom w:val="none" w:sz="0" w:space="0" w:color="auto"/>
            <w:right w:val="none" w:sz="0" w:space="0" w:color="auto"/>
          </w:divBdr>
          <w:divsChild>
            <w:div w:id="1006708765">
              <w:marLeft w:val="0"/>
              <w:marRight w:val="0"/>
              <w:marTop w:val="0"/>
              <w:marBottom w:val="0"/>
              <w:divBdr>
                <w:top w:val="none" w:sz="0" w:space="0" w:color="auto"/>
                <w:left w:val="none" w:sz="0" w:space="0" w:color="auto"/>
                <w:bottom w:val="none" w:sz="0" w:space="0" w:color="auto"/>
                <w:right w:val="none" w:sz="0" w:space="0" w:color="auto"/>
              </w:divBdr>
              <w:divsChild>
                <w:div w:id="634066367">
                  <w:marLeft w:val="0"/>
                  <w:marRight w:val="0"/>
                  <w:marTop w:val="0"/>
                  <w:marBottom w:val="0"/>
                  <w:divBdr>
                    <w:top w:val="none" w:sz="0" w:space="0" w:color="auto"/>
                    <w:left w:val="none" w:sz="0" w:space="0" w:color="auto"/>
                    <w:bottom w:val="none" w:sz="0" w:space="0" w:color="auto"/>
                    <w:right w:val="none" w:sz="0" w:space="0" w:color="auto"/>
                  </w:divBdr>
                  <w:divsChild>
                    <w:div w:id="508375034">
                      <w:marLeft w:val="0"/>
                      <w:marRight w:val="0"/>
                      <w:marTop w:val="0"/>
                      <w:marBottom w:val="0"/>
                      <w:divBdr>
                        <w:top w:val="none" w:sz="0" w:space="0" w:color="auto"/>
                        <w:left w:val="none" w:sz="0" w:space="0" w:color="auto"/>
                        <w:bottom w:val="none" w:sz="0" w:space="0" w:color="auto"/>
                        <w:right w:val="none" w:sz="0" w:space="0" w:color="auto"/>
                      </w:divBdr>
                      <w:divsChild>
                        <w:div w:id="11534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10937">
      <w:bodyDiv w:val="1"/>
      <w:marLeft w:val="0"/>
      <w:marRight w:val="0"/>
      <w:marTop w:val="0"/>
      <w:marBottom w:val="0"/>
      <w:divBdr>
        <w:top w:val="none" w:sz="0" w:space="0" w:color="auto"/>
        <w:left w:val="none" w:sz="0" w:space="0" w:color="auto"/>
        <w:bottom w:val="none" w:sz="0" w:space="0" w:color="auto"/>
        <w:right w:val="none" w:sz="0" w:space="0" w:color="auto"/>
      </w:divBdr>
      <w:divsChild>
        <w:div w:id="1828355707">
          <w:marLeft w:val="0"/>
          <w:marRight w:val="0"/>
          <w:marTop w:val="0"/>
          <w:marBottom w:val="0"/>
          <w:divBdr>
            <w:top w:val="none" w:sz="0" w:space="0" w:color="auto"/>
            <w:left w:val="none" w:sz="0" w:space="0" w:color="auto"/>
            <w:bottom w:val="none" w:sz="0" w:space="0" w:color="auto"/>
            <w:right w:val="none" w:sz="0" w:space="0" w:color="auto"/>
          </w:divBdr>
        </w:div>
      </w:divsChild>
    </w:div>
    <w:div w:id="1618947938">
      <w:bodyDiv w:val="1"/>
      <w:marLeft w:val="0"/>
      <w:marRight w:val="0"/>
      <w:marTop w:val="0"/>
      <w:marBottom w:val="0"/>
      <w:divBdr>
        <w:top w:val="none" w:sz="0" w:space="0" w:color="auto"/>
        <w:left w:val="none" w:sz="0" w:space="0" w:color="auto"/>
        <w:bottom w:val="none" w:sz="0" w:space="0" w:color="auto"/>
        <w:right w:val="none" w:sz="0" w:space="0" w:color="auto"/>
      </w:divBdr>
      <w:divsChild>
        <w:div w:id="1151558765">
          <w:marLeft w:val="0"/>
          <w:marRight w:val="0"/>
          <w:marTop w:val="0"/>
          <w:marBottom w:val="0"/>
          <w:divBdr>
            <w:top w:val="none" w:sz="0" w:space="0" w:color="auto"/>
            <w:left w:val="none" w:sz="0" w:space="0" w:color="auto"/>
            <w:bottom w:val="none" w:sz="0" w:space="0" w:color="auto"/>
            <w:right w:val="none" w:sz="0" w:space="0" w:color="auto"/>
          </w:divBdr>
          <w:divsChild>
            <w:div w:id="335426705">
              <w:marLeft w:val="0"/>
              <w:marRight w:val="0"/>
              <w:marTop w:val="0"/>
              <w:marBottom w:val="0"/>
              <w:divBdr>
                <w:top w:val="none" w:sz="0" w:space="0" w:color="auto"/>
                <w:left w:val="none" w:sz="0" w:space="0" w:color="auto"/>
                <w:bottom w:val="none" w:sz="0" w:space="0" w:color="auto"/>
                <w:right w:val="none" w:sz="0" w:space="0" w:color="auto"/>
              </w:divBdr>
              <w:divsChild>
                <w:div w:id="1751661176">
                  <w:marLeft w:val="0"/>
                  <w:marRight w:val="0"/>
                  <w:marTop w:val="0"/>
                  <w:marBottom w:val="0"/>
                  <w:divBdr>
                    <w:top w:val="none" w:sz="0" w:space="0" w:color="auto"/>
                    <w:left w:val="none" w:sz="0" w:space="0" w:color="auto"/>
                    <w:bottom w:val="none" w:sz="0" w:space="0" w:color="auto"/>
                    <w:right w:val="none" w:sz="0" w:space="0" w:color="auto"/>
                  </w:divBdr>
                  <w:divsChild>
                    <w:div w:id="1261327972">
                      <w:marLeft w:val="0"/>
                      <w:marRight w:val="0"/>
                      <w:marTop w:val="0"/>
                      <w:marBottom w:val="0"/>
                      <w:divBdr>
                        <w:top w:val="none" w:sz="0" w:space="0" w:color="auto"/>
                        <w:left w:val="none" w:sz="0" w:space="0" w:color="auto"/>
                        <w:bottom w:val="none" w:sz="0" w:space="0" w:color="auto"/>
                        <w:right w:val="none" w:sz="0" w:space="0" w:color="auto"/>
                      </w:divBdr>
                      <w:divsChild>
                        <w:div w:id="1092623280">
                          <w:marLeft w:val="0"/>
                          <w:marRight w:val="0"/>
                          <w:marTop w:val="0"/>
                          <w:marBottom w:val="0"/>
                          <w:divBdr>
                            <w:top w:val="none" w:sz="0" w:space="0" w:color="auto"/>
                            <w:left w:val="none" w:sz="0" w:space="0" w:color="auto"/>
                            <w:bottom w:val="none" w:sz="0" w:space="0" w:color="auto"/>
                            <w:right w:val="none" w:sz="0" w:space="0" w:color="auto"/>
                          </w:divBdr>
                          <w:divsChild>
                            <w:div w:id="15635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c.pima.gov" TargetMode="External"/><Relationship Id="rId3" Type="http://schemas.openxmlformats.org/officeDocument/2006/relationships/settings" Target="settings.xml"/><Relationship Id="rId7" Type="http://schemas.openxmlformats.org/officeDocument/2006/relationships/hyperlink" Target="mailto:humanresources@sc.pi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aar@sc.pi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3827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COMMUNITY BLOOD CENTER</vt:lpstr>
    </vt:vector>
  </TitlesOfParts>
  <Company>cbccts</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BLOOD CENTER</dc:title>
  <dc:subject/>
  <dc:creator>chansen</dc:creator>
  <cp:keywords/>
  <dc:description/>
  <cp:lastModifiedBy>Chavolla, Shirley</cp:lastModifiedBy>
  <cp:revision>2</cp:revision>
  <cp:lastPrinted>2021-08-11T16:22:00Z</cp:lastPrinted>
  <dcterms:created xsi:type="dcterms:W3CDTF">2024-09-20T16:13:00Z</dcterms:created>
  <dcterms:modified xsi:type="dcterms:W3CDTF">2024-09-20T16:13:00Z</dcterms:modified>
</cp:coreProperties>
</file>